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jc w:val="center"/>
        <w:tblLayout w:type="fixed"/>
        <w:tblCellMar>
          <w:top w:w="0" w:type="dxa"/>
          <w:left w:w="28" w:type="dxa"/>
          <w:bottom w:w="0" w:type="dxa"/>
          <w:right w:w="28" w:type="dxa"/>
        </w:tblCellMar>
      </w:tblPr>
      <w:tblGrid>
        <w:gridCol w:w="332"/>
        <w:gridCol w:w="6730"/>
        <w:gridCol w:w="1478"/>
        <w:gridCol w:w="305"/>
      </w:tblGrid>
      <w:tr w14:paraId="1055CE3B">
        <w:tblPrEx>
          <w:tblCellMar>
            <w:top w:w="0" w:type="dxa"/>
            <w:left w:w="28" w:type="dxa"/>
            <w:bottom w:w="0" w:type="dxa"/>
            <w:right w:w="28" w:type="dxa"/>
          </w:tblCellMar>
        </w:tblPrEx>
        <w:trPr>
          <w:cantSplit/>
          <w:trHeight w:val="1276" w:hRule="exact"/>
          <w:jc w:val="center"/>
        </w:trPr>
        <w:tc>
          <w:tcPr>
            <w:tcW w:w="7062" w:type="dxa"/>
            <w:gridSpan w:val="2"/>
            <w:noWrap w:val="0"/>
            <w:vAlign w:val="top"/>
          </w:tcPr>
          <w:p w14:paraId="369388BD">
            <w:pPr>
              <w:keepNext w:val="0"/>
              <w:keepLines w:val="0"/>
              <w:pageBreakBefore w:val="0"/>
              <w:widowControl w:val="0"/>
              <w:kinsoku/>
              <w:wordWrap/>
              <w:overflowPunct w:val="0"/>
              <w:topLinePunct w:val="0"/>
              <w:autoSpaceDE/>
              <w:autoSpaceDN/>
              <w:bidi w:val="0"/>
              <w:adjustRightInd/>
              <w:rPr>
                <w:rStyle w:val="23"/>
                <w:rFonts w:hint="eastAsia" w:ascii="Times New Roman" w:hAnsi="Times New Roman" w:eastAsia="宋体"/>
                <w:color w:val="000000"/>
                <w:sz w:val="32"/>
                <w:szCs w:val="32"/>
                <w:lang w:eastAsia="zh-CN"/>
              </w:rPr>
            </w:pPr>
          </w:p>
        </w:tc>
        <w:tc>
          <w:tcPr>
            <w:tcW w:w="1783" w:type="dxa"/>
            <w:gridSpan w:val="2"/>
            <w:noWrap w:val="0"/>
            <w:vAlign w:val="top"/>
          </w:tcPr>
          <w:p w14:paraId="43218362">
            <w:pPr>
              <w:keepNext w:val="0"/>
              <w:keepLines w:val="0"/>
              <w:pageBreakBefore w:val="0"/>
              <w:widowControl w:val="0"/>
              <w:kinsoku/>
              <w:wordWrap/>
              <w:overflowPunct w:val="0"/>
              <w:topLinePunct w:val="0"/>
              <w:autoSpaceDE/>
              <w:autoSpaceDN/>
              <w:bidi w:val="0"/>
              <w:adjustRightInd/>
              <w:spacing w:line="240" w:lineRule="auto"/>
              <w:jc w:val="right"/>
              <w:rPr>
                <w:rStyle w:val="23"/>
                <w:rFonts w:ascii="Times New Roman" w:hAnsi="Times New Roman"/>
                <w:color w:val="000000"/>
              </w:rPr>
            </w:pPr>
          </w:p>
        </w:tc>
      </w:tr>
      <w:tr w14:paraId="742CB463">
        <w:tblPrEx>
          <w:tblCellMar>
            <w:top w:w="0" w:type="dxa"/>
            <w:left w:w="28" w:type="dxa"/>
            <w:bottom w:w="0" w:type="dxa"/>
            <w:right w:w="28" w:type="dxa"/>
          </w:tblCellMar>
        </w:tblPrEx>
        <w:trPr>
          <w:cantSplit/>
          <w:trHeight w:val="780" w:hRule="atLeast"/>
          <w:jc w:val="center"/>
        </w:trPr>
        <w:tc>
          <w:tcPr>
            <w:tcW w:w="8845" w:type="dxa"/>
            <w:gridSpan w:val="4"/>
            <w:noWrap w:val="0"/>
            <w:vAlign w:val="top"/>
          </w:tcPr>
          <w:p w14:paraId="29ABEBFA">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246B69BD">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6CF2CE49">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000C7F6B">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tc>
      </w:tr>
      <w:tr w14:paraId="105A0D00">
        <w:tblPrEx>
          <w:tblCellMar>
            <w:top w:w="0" w:type="dxa"/>
            <w:left w:w="28" w:type="dxa"/>
            <w:bottom w:w="0" w:type="dxa"/>
            <w:right w:w="28" w:type="dxa"/>
          </w:tblCellMar>
        </w:tblPrEx>
        <w:trPr>
          <w:cantSplit/>
          <w:trHeight w:val="1979" w:hRule="atLeast"/>
          <w:jc w:val="center"/>
        </w:trPr>
        <w:tc>
          <w:tcPr>
            <w:tcW w:w="8845" w:type="dxa"/>
            <w:gridSpan w:val="4"/>
            <w:tcBorders>
              <w:bottom w:val="nil"/>
            </w:tcBorders>
            <w:noWrap w:val="0"/>
            <w:vAlign w:val="top"/>
          </w:tcPr>
          <w:p w14:paraId="1D916299">
            <w:pPr>
              <w:keepNext w:val="0"/>
              <w:keepLines w:val="0"/>
              <w:pageBreakBefore w:val="0"/>
              <w:widowControl w:val="0"/>
              <w:kinsoku/>
              <w:wordWrap/>
              <w:overflowPunct w:val="0"/>
              <w:topLinePunct w:val="0"/>
              <w:autoSpaceDE/>
              <w:autoSpaceDN/>
              <w:bidi w:val="0"/>
              <w:adjustRightInd/>
              <w:spacing w:before="240" w:beforeLines="0" w:line="318" w:lineRule="atLeast"/>
              <w:jc w:val="center"/>
              <w:textAlignment w:val="bottom"/>
              <w:rPr>
                <w:rFonts w:hint="eastAsia" w:ascii="Times New Roman" w:hAnsi="Times New Roman" w:eastAsia="华文中宋"/>
                <w:color w:val="FF0000"/>
                <w:w w:val="65"/>
                <w:sz w:val="72"/>
                <w:lang w:eastAsia="zh-CN"/>
              </w:rPr>
            </w:pPr>
          </w:p>
        </w:tc>
      </w:tr>
      <w:tr w14:paraId="10F6434A">
        <w:tblPrEx>
          <w:tblCellMar>
            <w:top w:w="0" w:type="dxa"/>
            <w:left w:w="28" w:type="dxa"/>
            <w:bottom w:w="0" w:type="dxa"/>
            <w:right w:w="28" w:type="dxa"/>
          </w:tblCellMar>
        </w:tblPrEx>
        <w:trPr>
          <w:cantSplit/>
          <w:trHeight w:val="897" w:hRule="exact"/>
          <w:jc w:val="center"/>
        </w:trPr>
        <w:tc>
          <w:tcPr>
            <w:tcW w:w="332" w:type="dxa"/>
            <w:tcBorders>
              <w:top w:val="nil"/>
              <w:left w:val="nil"/>
              <w:bottom w:val="single" w:color="FFFFFF" w:sz="4" w:space="0"/>
              <w:right w:val="nil"/>
            </w:tcBorders>
            <w:noWrap w:val="0"/>
            <w:vAlign w:val="center"/>
          </w:tcPr>
          <w:p w14:paraId="7E36D410">
            <w:pPr>
              <w:keepNext w:val="0"/>
              <w:keepLines w:val="0"/>
              <w:pageBreakBefore w:val="0"/>
              <w:widowControl w:val="0"/>
              <w:kinsoku/>
              <w:wordWrap/>
              <w:overflowPunct w:val="0"/>
              <w:topLinePunct w:val="0"/>
              <w:autoSpaceDE/>
              <w:autoSpaceDN/>
              <w:bidi w:val="0"/>
              <w:adjustRightInd/>
              <w:spacing w:before="120" w:beforeLines="0"/>
              <w:jc w:val="center"/>
              <w:textAlignment w:val="bottom"/>
              <w:rPr>
                <w:rFonts w:ascii="Times New Roman" w:hAnsi="Times New Roman"/>
                <w:color w:val="000000"/>
              </w:rPr>
            </w:pPr>
          </w:p>
        </w:tc>
        <w:tc>
          <w:tcPr>
            <w:tcW w:w="8208" w:type="dxa"/>
            <w:gridSpan w:val="2"/>
            <w:tcBorders>
              <w:top w:val="nil"/>
              <w:left w:val="nil"/>
              <w:bottom w:val="single" w:color="FFFFFF" w:sz="4" w:space="0"/>
              <w:right w:val="nil"/>
            </w:tcBorders>
            <w:noWrap w:val="0"/>
            <w:vAlign w:val="center"/>
          </w:tcPr>
          <w:p w14:paraId="1B547519">
            <w:pPr>
              <w:keepNext w:val="0"/>
              <w:keepLines w:val="0"/>
              <w:pageBreakBefore w:val="0"/>
              <w:widowControl w:val="0"/>
              <w:kinsoku/>
              <w:wordWrap/>
              <w:overflowPunct w:val="0"/>
              <w:topLinePunct w:val="0"/>
              <w:autoSpaceDE/>
              <w:autoSpaceDN/>
              <w:bidi w:val="0"/>
              <w:adjustRightInd/>
              <w:snapToGrid/>
              <w:spacing w:before="180" w:beforeLines="0" w:line="380" w:lineRule="exact"/>
              <w:ind w:left="0" w:leftChars="0" w:right="0" w:rightChars="0" w:firstLine="0" w:firstLineChars="0"/>
              <w:jc w:val="both"/>
              <w:textAlignment w:val="bottom"/>
              <w:outlineLvl w:val="9"/>
              <w:rPr>
                <w:rFonts w:ascii="Times New Roman" w:hAnsi="Times New Roman"/>
                <w:color w:val="000000"/>
              </w:rPr>
            </w:pPr>
            <w:r>
              <w:rPr>
                <w:rFonts w:ascii="Times New Roman" w:hAnsi="Times New Roman"/>
                <w:color w:val="000000"/>
                <w:szCs w:val="32"/>
              </w:rPr>
              <w:t>宛交</w:t>
            </w:r>
            <w:r>
              <w:rPr>
                <w:rFonts w:hint="eastAsia" w:ascii="Times New Roman" w:hAnsi="Times New Roman"/>
                <w:color w:val="000000"/>
                <w:szCs w:val="32"/>
                <w:lang w:eastAsia="zh-CN"/>
              </w:rPr>
              <w:t>字</w:t>
            </w:r>
            <w:r>
              <w:rPr>
                <w:rFonts w:ascii="Times New Roman" w:hAnsi="Times New Roman"/>
                <w:color w:val="000000"/>
                <w:szCs w:val="32"/>
              </w:rPr>
              <w:t>〔20</w:t>
            </w:r>
            <w:r>
              <w:rPr>
                <w:rFonts w:hint="eastAsia" w:ascii="Times New Roman" w:hAnsi="Times New Roman"/>
                <w:color w:val="000000"/>
                <w:szCs w:val="32"/>
                <w:lang w:val="en-US" w:eastAsia="zh-CN"/>
              </w:rPr>
              <w:t>25</w:t>
            </w:r>
            <w:r>
              <w:rPr>
                <w:rFonts w:ascii="Times New Roman" w:hAnsi="Times New Roman"/>
                <w:color w:val="000000"/>
                <w:szCs w:val="32"/>
              </w:rPr>
              <w:t>〕</w:t>
            </w:r>
            <w:r>
              <w:rPr>
                <w:rFonts w:hint="eastAsia"/>
                <w:color w:val="000000"/>
                <w:szCs w:val="32"/>
                <w:lang w:val="en-US" w:eastAsia="zh-CN"/>
              </w:rPr>
              <w:t>22</w:t>
            </w:r>
            <w:r>
              <w:rPr>
                <w:rFonts w:hint="eastAsia" w:ascii="Times New Roman" w:hAnsi="Times New Roman"/>
                <w:color w:val="000000"/>
                <w:szCs w:val="32"/>
              </w:rPr>
              <w:t>号</w:t>
            </w:r>
            <w:r>
              <w:rPr>
                <w:rFonts w:hint="eastAsia" w:ascii="Times New Roman" w:hAnsi="Times New Roman"/>
                <w:color w:val="000000"/>
                <w:szCs w:val="32"/>
                <w:lang w:val="en-US" w:eastAsia="zh-CN"/>
              </w:rPr>
              <w:t xml:space="preserve">                                     </w:t>
            </w:r>
            <w:r>
              <w:rPr>
                <w:rFonts w:hint="eastAsia" w:ascii="Times" w:hAnsi="Times"/>
                <w:szCs w:val="32"/>
                <w:lang w:eastAsia="zh-CN"/>
              </w:rPr>
              <w:t>签发人</w:t>
            </w:r>
            <w:r>
              <w:rPr>
                <w:rFonts w:hint="eastAsia" w:ascii="楷体_GB2312" w:hAnsi="楷体_GB2312" w:eastAsia="楷体_GB2312" w:cs="楷体_GB2312"/>
                <w:szCs w:val="32"/>
                <w:lang w:eastAsia="zh-CN"/>
              </w:rPr>
              <w:t>：张栓誉</w:t>
            </w:r>
          </w:p>
        </w:tc>
        <w:tc>
          <w:tcPr>
            <w:tcW w:w="305" w:type="dxa"/>
            <w:tcBorders>
              <w:top w:val="nil"/>
              <w:left w:val="nil"/>
              <w:bottom w:val="single" w:color="FFFFFF" w:sz="4" w:space="0"/>
              <w:right w:val="nil"/>
            </w:tcBorders>
            <w:noWrap w:val="0"/>
            <w:vAlign w:val="center"/>
          </w:tcPr>
          <w:p w14:paraId="09D94376">
            <w:pPr>
              <w:keepNext w:val="0"/>
              <w:keepLines w:val="0"/>
              <w:pageBreakBefore w:val="0"/>
              <w:widowControl w:val="0"/>
              <w:kinsoku/>
              <w:wordWrap/>
              <w:overflowPunct w:val="0"/>
              <w:topLinePunct w:val="0"/>
              <w:autoSpaceDE/>
              <w:autoSpaceDN/>
              <w:bidi w:val="0"/>
              <w:adjustRightInd/>
              <w:spacing w:before="120" w:beforeLines="0" w:line="318" w:lineRule="atLeast"/>
              <w:ind w:firstLine="1418"/>
              <w:jc w:val="center"/>
              <w:textAlignment w:val="bottom"/>
              <w:rPr>
                <w:rFonts w:ascii="Times New Roman" w:hAnsi="Times New Roman"/>
                <w:color w:val="000000"/>
              </w:rPr>
            </w:pPr>
          </w:p>
        </w:tc>
      </w:tr>
      <w:tr w14:paraId="4A0AB2DC">
        <w:tblPrEx>
          <w:tblCellMar>
            <w:top w:w="0" w:type="dxa"/>
            <w:left w:w="28" w:type="dxa"/>
            <w:bottom w:w="0" w:type="dxa"/>
            <w:right w:w="28" w:type="dxa"/>
          </w:tblCellMar>
        </w:tblPrEx>
        <w:trPr>
          <w:cantSplit/>
          <w:trHeight w:val="556" w:hRule="atLeast"/>
          <w:jc w:val="center"/>
        </w:trPr>
        <w:tc>
          <w:tcPr>
            <w:tcW w:w="8845" w:type="dxa"/>
            <w:gridSpan w:val="4"/>
            <w:tcBorders>
              <w:top w:val="single" w:color="FFFFFF" w:sz="4" w:space="0"/>
              <w:left w:val="nil"/>
              <w:bottom w:val="nil"/>
              <w:right w:val="nil"/>
            </w:tcBorders>
            <w:noWrap w:val="0"/>
            <w:vAlign w:val="top"/>
          </w:tcPr>
          <w:p w14:paraId="0C12FF03">
            <w:pPr>
              <w:keepNext w:val="0"/>
              <w:keepLines w:val="0"/>
              <w:pageBreakBefore w:val="0"/>
              <w:widowControl w:val="0"/>
              <w:kinsoku/>
              <w:wordWrap/>
              <w:overflowPunct w:val="0"/>
              <w:topLinePunct w:val="0"/>
              <w:autoSpaceDE/>
              <w:autoSpaceDN/>
              <w:bidi w:val="0"/>
              <w:adjustRightInd/>
              <w:snapToGrid/>
              <w:spacing w:after="93" w:afterLines="30" w:line="500" w:lineRule="exact"/>
              <w:ind w:left="0" w:leftChars="0" w:right="0" w:rightChars="0" w:firstLine="390" w:firstLineChars="122"/>
              <w:jc w:val="left"/>
              <w:textAlignment w:val="auto"/>
              <w:outlineLvl w:val="9"/>
              <w:rPr>
                <w:rFonts w:hint="default" w:ascii="Times New Roman" w:hAnsi="Times New Roman" w:eastAsia="华文中宋"/>
                <w:color w:val="000000"/>
                <w:lang w:val="en-US"/>
              </w:rPr>
            </w:pPr>
            <w:r>
              <w:rPr>
                <w:rFonts w:hint="eastAsia" w:ascii="Times" w:hAnsi="Times"/>
                <w:szCs w:val="32"/>
                <w:lang w:val="en-US" w:eastAsia="zh-CN"/>
              </w:rPr>
              <w:t xml:space="preserve">                                                                         </w:t>
            </w:r>
            <w:r>
              <w:rPr>
                <w:rFonts w:hint="eastAsia" w:ascii="Times" w:hAnsi="Times"/>
                <w:szCs w:val="32"/>
                <w:lang w:eastAsia="zh-CN"/>
              </w:rPr>
              <w:t>办理结果：</w:t>
            </w:r>
            <w:r>
              <w:rPr>
                <w:rFonts w:hint="eastAsia" w:ascii="Times" w:hAnsi="Times"/>
                <w:szCs w:val="32"/>
                <w:lang w:val="en-US" w:eastAsia="zh-CN"/>
              </w:rPr>
              <w:t>B</w:t>
            </w:r>
          </w:p>
        </w:tc>
      </w:tr>
    </w:tbl>
    <w:p w14:paraId="318977D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44"/>
          <w:szCs w:val="44"/>
        </w:rPr>
      </w:pPr>
    </w:p>
    <w:p w14:paraId="1115A401">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方正小标宋_GBK" w:hAnsi="方正小标宋_GBK" w:eastAsia="方正小标宋_GBK" w:cs="方正小标宋_GBK"/>
          <w:sz w:val="44"/>
          <w:szCs w:val="44"/>
          <w:lang w:val="en-US" w:eastAsia="zh-CN"/>
        </w:rPr>
      </w:pPr>
    </w:p>
    <w:p w14:paraId="1E40B02E">
      <w:pPr>
        <w:keepNext w:val="0"/>
        <w:keepLines w:val="0"/>
        <w:pageBreakBefore w:val="0"/>
        <w:widowControl w:val="0"/>
        <w:kinsoku/>
        <w:wordWrap w:val="0"/>
        <w:overflowPunct w:val="0"/>
        <w:topLinePunct w:val="0"/>
        <w:autoSpaceDE/>
        <w:autoSpaceDN/>
        <w:bidi w:val="0"/>
        <w:adjustRightInd/>
        <w:snapToGrid/>
        <w:spacing w:before="0" w:beforeLines="0" w:after="0" w:afterLines="0" w:line="578" w:lineRule="exact"/>
        <w:ind w:right="0" w:rightChars="0" w:firstLine="640" w:firstLineChars="200"/>
        <w:jc w:val="right"/>
        <w:textAlignment w:val="auto"/>
        <w:outlineLvl w:val="9"/>
        <w:rPr>
          <w:rFonts w:hint="default" w:ascii="Times New Roman" w:hAnsi="Times New Roman" w:eastAsia="仿宋_GB2312" w:cs="Times New Roman"/>
          <w:szCs w:val="32"/>
          <w:lang w:val="en-US" w:eastAsia="zh-CN"/>
        </w:rPr>
      </w:pPr>
      <w:r>
        <w:rPr>
          <w:rFonts w:hint="eastAsia" w:ascii="仿宋_GB2312" w:hAnsi="仿宋_GB2312" w:eastAsia="仿宋_GB2312" w:cs="仿宋_GB2312"/>
          <w:szCs w:val="32"/>
          <w:lang w:val="en-US" w:eastAsia="zh-CN"/>
        </w:rPr>
        <w:t xml:space="preserve"> </w:t>
      </w:r>
      <w:r>
        <w:rPr>
          <w:rFonts w:hint="eastAsia" w:ascii="仿宋_GB2312" w:hAnsi="仿宋_GB2312" w:cs="仿宋_GB2312"/>
          <w:szCs w:val="32"/>
          <w:lang w:val="en-US" w:eastAsia="zh-CN"/>
        </w:rPr>
        <w:t xml:space="preserve">      </w:t>
      </w:r>
    </w:p>
    <w:p w14:paraId="6C174DFB">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南阳市交通运输局</w:t>
      </w:r>
    </w:p>
    <w:p w14:paraId="5AB02DAD">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对市政协七届三次会议第73575号提案的答复</w:t>
      </w:r>
    </w:p>
    <w:p w14:paraId="577EC8F0">
      <w:pPr>
        <w:pStyle w:val="4"/>
        <w:rPr>
          <w:rFonts w:hint="default"/>
          <w:lang w:val="en-US" w:eastAsia="zh-CN"/>
        </w:rPr>
      </w:pPr>
    </w:p>
    <w:p w14:paraId="78E98E96">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民革南阳市委员会：</w:t>
      </w:r>
    </w:p>
    <w:p w14:paraId="41A676D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贵单位提出的《关于撤销南阳市孔明大道、独山大道公交车道高峰期限制的提案》（政协第七届南阳市委员会第三次会议第73575号提案）已收悉。衷心感谢贵单位对我市交通运输事业的关心和支持！经认真研究，现结合我市实际情况和国内先进城市实践经验，答复如下：</w:t>
      </w:r>
    </w:p>
    <w:p w14:paraId="02D346A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i w:val="0"/>
          <w:iCs w:val="0"/>
          <w:caps w:val="0"/>
          <w:spacing w:val="0"/>
          <w:sz w:val="32"/>
          <w:szCs w:val="32"/>
          <w:lang w:val="en-US" w:eastAsia="zh-CN"/>
        </w:rPr>
      </w:pPr>
      <w:r>
        <w:rPr>
          <w:rFonts w:hint="eastAsia" w:ascii="黑体" w:hAnsi="黑体" w:eastAsia="黑体" w:cs="黑体"/>
          <w:i w:val="0"/>
          <w:iCs w:val="0"/>
          <w:caps w:val="0"/>
          <w:spacing w:val="0"/>
          <w:sz w:val="32"/>
          <w:szCs w:val="32"/>
          <w:lang w:val="en-US" w:eastAsia="zh-CN"/>
        </w:rPr>
        <w:t>一、公交专用道的设立意义</w:t>
      </w:r>
    </w:p>
    <w:p w14:paraId="786A7E0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公共交通作为城市交通的“主动脉”，承担着保障民生出行、缓解交通拥堵、降低碳排放的核心功能。其不仅是市民日常通勤的重要载体，更是优化城市空间布局、提升城市运行效率的关键支撑。发展高质量公共交通，能够引导公众出行方式转变，减少私人车辆使用频率，从源头缓解交通供需矛盾，对提升市民生活质量、促进城市可持续发展具有不可替代的作用。</w:t>
      </w:r>
    </w:p>
    <w:p w14:paraId="77E5A09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公交专用道是落实“公交优先”战略的重要载体，其设立初衷在于通过资源倾斜保障公共交通的准时性与高效性。通过划定专属通行空间，可有效避免公交车辆与社会车辆混行引发的延误，提升公交服务的可靠性和吸引力，进而引导更多市民选择绿色出行。理想状态下，公交专用道能够实现“以时间换空间”，通过提高公交运行效率间接提升道路整体通行效能，是破解城市交通拥堵的重要手段之一。</w:t>
      </w:r>
    </w:p>
    <w:p w14:paraId="7E2716B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i w:val="0"/>
          <w:iCs w:val="0"/>
          <w:caps w:val="0"/>
          <w:spacing w:val="0"/>
          <w:sz w:val="32"/>
          <w:szCs w:val="32"/>
          <w:lang w:val="en-US" w:eastAsia="zh-CN"/>
        </w:rPr>
      </w:pPr>
      <w:r>
        <w:rPr>
          <w:rFonts w:hint="eastAsia" w:ascii="黑体" w:hAnsi="黑体" w:eastAsia="黑体" w:cs="黑体"/>
          <w:i w:val="0"/>
          <w:iCs w:val="0"/>
          <w:caps w:val="0"/>
          <w:spacing w:val="0"/>
          <w:sz w:val="32"/>
          <w:szCs w:val="32"/>
          <w:lang w:val="en-US" w:eastAsia="zh-CN"/>
        </w:rPr>
        <w:t>二、南阳市孔明大道、独山大道交通现状</w:t>
      </w:r>
    </w:p>
    <w:p w14:paraId="1C17F37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（一）公交专用道使用效能不足</w:t>
      </w:r>
    </w:p>
    <w:p w14:paraId="23E5ED4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正如提案所指出，孔明大道、独山大道高峰期公交班次与非高峰期基本持平，未针对高峰时段出行需求动态调配班次。这一问题直接导致公交专用道在交通流量最大的关键时段长期处于闲置状态，未能发挥其“保障公交优先”的核心价值，形成了道路资源的浪费。经核查，高峰时段孔明大道、独山大道公交专用道使用率不足30%，与“公交专用、高效通行”的设置目标存在明显差距。</w:t>
      </w:r>
    </w:p>
    <w:p w14:paraId="36C831C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楷体_GB2312" w:hAnsi="楷体_GB2312" w:eastAsia="楷体_GB2312" w:cs="楷体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（二）社会车道拥堵问题突出</w:t>
      </w:r>
    </w:p>
    <w:p w14:paraId="432B3B2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高峰时段，两条道路社会车辆通行需求激增，而有限的社会车道难以承载巨大车流量，导致车辆通行缓慢、交织冲突频繁，交通拥堵成为常态。数据显示，高峰时段孔明大道、独山大道社会车道平均通行速度不足20公里/小时，部分路段拥堵时长可达1.5小时以上。闲置的公交专用道与拥堵的社会车道形成鲜明对比，加剧了道路资源配置的失衡。</w:t>
      </w:r>
    </w:p>
    <w:p w14:paraId="1C08CB8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楷体_GB2312" w:hAnsi="楷体_GB2312" w:eastAsia="楷体_GB2312" w:cs="楷体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（三）现有管理模式未能适配实际需求</w:t>
      </w:r>
    </w:p>
    <w:p w14:paraId="46A9775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当前公交专用道高峰期限制政策，未能结合公交运营实际与道路流量动态变化进行适应性调整。一方面，公交运营调配缺乏弹性，未能及时响应高峰时段客流需求；另一方面，交通管理方式较为僵化，未建立“专用道使用效能与社会交通需求”相匹配的调节机制，导致政策实施效果与预期存在偏差。</w:t>
      </w:r>
    </w:p>
    <w:p w14:paraId="287EBC4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i w:val="0"/>
          <w:iCs w:val="0"/>
          <w:caps w:val="0"/>
          <w:spacing w:val="0"/>
          <w:sz w:val="32"/>
          <w:szCs w:val="32"/>
          <w:lang w:val="en-US" w:eastAsia="zh-CN"/>
        </w:rPr>
      </w:pPr>
      <w:r>
        <w:rPr>
          <w:rFonts w:hint="eastAsia" w:ascii="黑体" w:hAnsi="黑体" w:eastAsia="黑体" w:cs="黑体"/>
          <w:i w:val="0"/>
          <w:iCs w:val="0"/>
          <w:caps w:val="0"/>
          <w:spacing w:val="0"/>
          <w:sz w:val="32"/>
          <w:szCs w:val="32"/>
          <w:lang w:val="en-US" w:eastAsia="zh-CN"/>
        </w:rPr>
        <w:t>三、国内城市公交专用道优化调整的经验借鉴</w:t>
      </w:r>
    </w:p>
    <w:p w14:paraId="1E2E412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近年来，国内多个城市针对公交专用道使用中出现的问题，探索出一系列务实有效的优化方案，为我市提供了重要参考：</w:t>
      </w:r>
    </w:p>
    <w:p w14:paraId="0367C9D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（一）动态调整专用道使用时段</w:t>
      </w:r>
    </w:p>
    <w:p w14:paraId="689AE60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北京、上海等城市根据不同路段的交通流量特征，实行“分时段公交专用”管理模式。例如，部分路段仅在早高峰7:00-9:00、晚高峰17:00-19:00实行公交专用，其余时段向社会车辆开放；对于公交班次较少的路段，进一步缩短专用时段或仅在工作日实行限制，既保障了高峰时段公交优先，又提高了非高峰时段道路利用率。</w:t>
      </w:r>
    </w:p>
    <w:p w14:paraId="7AC1127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（二）建立“公交流量与专用道匹配”机制</w:t>
      </w:r>
    </w:p>
    <w:p w14:paraId="1EDD266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广州、深圳等地通过安装智能监测设备，实时采集公交班次密度、专用道使用率等数据，建立动态评估体系，对专用道使用情况进行实时分析。当某一路段公交专用道使用率连续低于40%时，自动启动调整程序，可采取“缩减专用道长度”“改为公交优先</w:t>
      </w:r>
      <w:bookmarkStart w:id="0" w:name="_GoBack"/>
      <w:bookmarkEnd w:id="0"/>
      <w:r>
        <w:rPr>
          <w:rFonts w:hint="eastAsia" w:ascii="仿宋_GB2312" w:hAnsi="仿宋_GB2312" w:cs="仿宋_GB2312"/>
          <w:i w:val="0"/>
          <w:iCs w:val="0"/>
          <w:caps w:val="0"/>
          <w:spacing w:val="0"/>
          <w:sz w:val="32"/>
          <w:szCs w:val="32"/>
          <w:lang w:val="en-US" w:eastAsia="zh-CN"/>
        </w:rPr>
        <w:t>道（社会车辆可借道但需避让公交）”等措施，确保专用道资源与公交需求相适配。</w:t>
      </w:r>
    </w:p>
    <w:p w14:paraId="63DEEA1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楷体_GB2312" w:hAnsi="楷体_GB2312" w:eastAsia="楷体_GB2312" w:cs="楷体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（三）配套优化公交运营与智能管理</w:t>
      </w:r>
    </w:p>
    <w:p w14:paraId="78DD59B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杭州、成都等城市在调整专用道政策的同时，同步推进公交运营升级与交通智能化建设。一方面，根据客流大数据精准增加高峰时段公交班次，优化线路站点布局，提升公交服务吸引力；另一方面，通过智能交通系统实现公交车辆与交通信号灯的联动优先，在社会车辆可进入专用道的路段，通过电子监控确保公交车辆的路权优先，避免交通秩序混乱。</w:t>
      </w:r>
    </w:p>
    <w:p w14:paraId="22C5EF5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四、我市的初步处理思路与下一步工作安排</w:t>
      </w:r>
    </w:p>
    <w:p w14:paraId="14B0EFE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结合提案建议、本地实际及国内经验，我市将按照 “科学评估、分步实施、配套保障” 的原则推进相关工作：</w:t>
      </w:r>
    </w:p>
    <w:p w14:paraId="7B1EC3E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楷体_GB2312" w:hAnsi="楷体_GB2312" w:eastAsia="楷体_GB2312" w:cs="楷体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（一）开展专项调研评估</w:t>
      </w:r>
    </w:p>
    <w:p w14:paraId="4CECB56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由市交通运输局牵头，联合市公安局等部门，对孔明大道、独山大道公交专用道开展为期1个月的专项监测，重点收集高峰时段公交班次、专用道使用率、社会车道通行速度等数据，形成详细的现状评估报告，为政策调整提供数据支撑。</w:t>
      </w:r>
    </w:p>
    <w:p w14:paraId="1E9E564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楷体_GB2312" w:hAnsi="楷体_GB2312" w:eastAsia="楷体_GB2312" w:cs="楷体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（二）优化专用道管理政策</w:t>
      </w:r>
    </w:p>
    <w:p w14:paraId="24DC4D9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根据评估结果，拟对孔明大道、独山大道公交专用道高峰期限制政策进行优化：若监测显示专用道闲置问题确实突出，将研究撤销现有全时段高峰限制，改为“分时段专用+公交优先保障”模式，明确社会车辆可进入专用道的时段与规则，并通过交通标识清晰公示；同时，要求公交企业在高峰时段将两条道路的公交班次增加30%以上，确保专用道资源得到有效利用。</w:t>
      </w:r>
    </w:p>
    <w:p w14:paraId="3DC942D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楷体_GB2312" w:hAnsi="楷体_GB2312" w:eastAsia="楷体_GB2312" w:cs="楷体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（三）强化配套保障措施</w:t>
      </w:r>
    </w:p>
    <w:p w14:paraId="29D2E90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提升公交运营服务：</w:t>
      </w:r>
      <w:r>
        <w:rPr>
          <w:rFonts w:hint="eastAsia" w:ascii="仿宋_GB2312" w:hAnsi="仿宋_GB2312" w:cs="仿宋_GB2312"/>
          <w:i w:val="0"/>
          <w:iCs w:val="0"/>
          <w:caps w:val="0"/>
          <w:spacing w:val="0"/>
          <w:sz w:val="32"/>
          <w:szCs w:val="32"/>
          <w:lang w:val="en-US" w:eastAsia="zh-CN"/>
        </w:rPr>
        <w:t>督促公交企业建立客流动态监测机制，根据高峰时段出行需求实时调整班次密度，优化线路走向，减少市民候车时间，提升公交出行竞争力。</w:t>
      </w:r>
    </w:p>
    <w:p w14:paraId="116ECDD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推进智能交通建设：</w:t>
      </w:r>
      <w:r>
        <w:rPr>
          <w:rFonts w:hint="eastAsia" w:ascii="仿宋_GB2312" w:hAnsi="仿宋_GB2312" w:cs="仿宋_GB2312"/>
          <w:i w:val="0"/>
          <w:iCs w:val="0"/>
          <w:caps w:val="0"/>
          <w:spacing w:val="0"/>
          <w:sz w:val="32"/>
          <w:szCs w:val="32"/>
          <w:lang w:val="en-US" w:eastAsia="zh-CN"/>
        </w:rPr>
        <w:t>在两条道路进一步完善智能监控设备和交通流量检测器，实现对专用道使用情况的实时监管；建立公交车辆优先通行信号系统，确保社会车辆进入专用道后不影响公交正常运行。</w:t>
      </w:r>
    </w:p>
    <w:p w14:paraId="22CE6F8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楷体_GB2312" w:hAnsi="楷体_GB2312" w:eastAsia="楷体_GB2312" w:cs="楷体_GB2312"/>
          <w:i w:val="0"/>
          <w:iCs w:val="0"/>
          <w:caps w:val="0"/>
          <w:spacing w:val="0"/>
          <w:sz w:val="32"/>
          <w:szCs w:val="32"/>
          <w:lang w:val="en-US" w:eastAsia="zh-CN"/>
        </w:rPr>
        <w:t>加强交通秩序管理：</w:t>
      </w:r>
      <w:r>
        <w:rPr>
          <w:rFonts w:hint="eastAsia" w:ascii="仿宋_GB2312" w:hAnsi="仿宋_GB2312" w:cs="仿宋_GB2312"/>
          <w:i w:val="0"/>
          <w:iCs w:val="0"/>
          <w:caps w:val="0"/>
          <w:spacing w:val="0"/>
          <w:sz w:val="32"/>
          <w:szCs w:val="32"/>
          <w:lang w:val="en-US" w:eastAsia="zh-CN"/>
        </w:rPr>
        <w:t>明确社会车辆使用专用道的行为规范，通过电子警察加大对“不避让公交”“长期占用专用道”等违法行为的查处力度，维护良好通行秩序。</w:t>
      </w:r>
    </w:p>
    <w:p w14:paraId="15B3371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 xml:space="preserve"> 下一步，我们将联合市公安部门，对公交专用道优化调整开展全面调研，充分借鉴先进城市经验，推动政策调整与配套设施建设，为广大市民群众提供高效、便捷的出行环境。</w:t>
      </w:r>
    </w:p>
    <w:p w14:paraId="6AC2E00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 xml:space="preserve">感谢贵单位对我市交通事业的关心与支持，我们将及时向您反馈工作进展情况，欢迎继续提出宝贵意见。 </w:t>
      </w:r>
    </w:p>
    <w:p w14:paraId="4E09498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i w:val="0"/>
          <w:iCs w:val="0"/>
          <w:caps w:val="0"/>
          <w:spacing w:val="0"/>
          <w:sz w:val="32"/>
          <w:szCs w:val="32"/>
          <w:lang w:val="en-US" w:eastAsia="zh-CN"/>
        </w:rPr>
      </w:pPr>
      <w:r>
        <w:rPr>
          <w:rFonts w:hint="eastAsia" w:ascii="仿宋_GB2312" w:hAnsi="仿宋_GB2312" w:cs="仿宋_GB2312"/>
          <w:i w:val="0"/>
          <w:iCs w:val="0"/>
          <w:caps w:val="0"/>
          <w:spacing w:val="0"/>
          <w:sz w:val="32"/>
          <w:szCs w:val="32"/>
          <w:lang w:val="en-US" w:eastAsia="zh-CN"/>
        </w:rPr>
        <w:t>特此回复。</w:t>
      </w:r>
    </w:p>
    <w:p w14:paraId="0E789175">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7C642E78">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7256CFFC">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54D4296D">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2C5332CA">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default" w:ascii="Times New Roman" w:hAnsi="Times New Roman" w:eastAsia="仿宋_GB2312" w:cs="Times New Roman"/>
          <w:szCs w:val="32"/>
          <w:lang w:val="en-US" w:eastAsia="zh-CN"/>
        </w:rPr>
      </w:pPr>
      <w:r>
        <w:rPr>
          <w:rFonts w:hint="eastAsia" w:ascii="仿宋_GB2312" w:hAnsi="仿宋_GB2312" w:eastAsia="仿宋_GB2312" w:cs="仿宋_GB2312"/>
          <w:sz w:val="32"/>
          <w:szCs w:val="32"/>
          <w:lang w:val="en-US" w:eastAsia="zh-CN"/>
        </w:rPr>
        <w:t>南阳市交通运输局</w:t>
      </w:r>
    </w:p>
    <w:p w14:paraId="2E09FF76">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 xml:space="preserve">                                    </w:t>
      </w:r>
      <w:r>
        <w:rPr>
          <w:rFonts w:hint="default" w:ascii="Times New Roman" w:hAnsi="Times New Roman" w:eastAsia="仿宋_GB2312" w:cs="Times New Roman"/>
          <w:szCs w:val="32"/>
          <w:lang w:val="en-US" w:eastAsia="zh-CN"/>
        </w:rPr>
        <w:t>202</w:t>
      </w:r>
      <w:r>
        <w:rPr>
          <w:rFonts w:hint="eastAsia" w:ascii="Times New Roman" w:hAnsi="Times New Roman" w:cs="Times New Roman"/>
          <w:szCs w:val="32"/>
          <w:lang w:val="en-US" w:eastAsia="zh-CN"/>
        </w:rPr>
        <w:t>5</w:t>
      </w:r>
      <w:r>
        <w:rPr>
          <w:rFonts w:hint="default" w:ascii="Times New Roman" w:hAnsi="Times New Roman" w:eastAsia="仿宋_GB2312" w:cs="Times New Roman"/>
          <w:szCs w:val="32"/>
          <w:lang w:val="en-US" w:eastAsia="zh-CN"/>
        </w:rPr>
        <w:t>年</w:t>
      </w:r>
      <w:r>
        <w:rPr>
          <w:rFonts w:hint="eastAsia" w:ascii="Times New Roman" w:hAnsi="Times New Roman" w:cs="Times New Roman"/>
          <w:szCs w:val="32"/>
          <w:lang w:val="en-US" w:eastAsia="zh-CN"/>
        </w:rPr>
        <w:t>9</w:t>
      </w:r>
      <w:r>
        <w:rPr>
          <w:rFonts w:hint="default" w:ascii="Times New Roman" w:hAnsi="Times New Roman" w:eastAsia="仿宋_GB2312" w:cs="Times New Roman"/>
          <w:szCs w:val="32"/>
          <w:lang w:val="en-US" w:eastAsia="zh-CN"/>
        </w:rPr>
        <w:t>月</w:t>
      </w:r>
      <w:r>
        <w:rPr>
          <w:rFonts w:hint="eastAsia" w:ascii="Times New Roman" w:hAnsi="Times New Roman" w:cs="Times New Roman"/>
          <w:szCs w:val="32"/>
          <w:lang w:val="en-US" w:eastAsia="zh-CN"/>
        </w:rPr>
        <w:t>15日</w:t>
      </w:r>
    </w:p>
    <w:p w14:paraId="4F033727">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p>
    <w:p w14:paraId="056765D8">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p>
    <w:p w14:paraId="6C8D38C3">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p>
    <w:p w14:paraId="0603D9A3">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p>
    <w:p w14:paraId="53E31EF2">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p>
    <w:p w14:paraId="3B4568E0">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eastAsia" w:ascii="Times New Roman" w:hAnsi="Times New Roman" w:cs="Times New Roman"/>
          <w:szCs w:val="32"/>
          <w:lang w:val="en-US" w:eastAsia="zh-CN"/>
        </w:rPr>
      </w:pPr>
    </w:p>
    <w:p w14:paraId="2537839E">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3EE119E3">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tbl>
      <w:tblPr>
        <w:tblStyle w:val="14"/>
        <w:tblW w:w="9025"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9025"/>
      </w:tblGrid>
      <w:tr w14:paraId="41912632">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567" w:hRule="exact"/>
          <w:jc w:val="center"/>
        </w:trPr>
        <w:tc>
          <w:tcPr>
            <w:tcW w:w="9025" w:type="dxa"/>
            <w:tcBorders>
              <w:top w:val="single" w:color="auto" w:sz="6" w:space="0"/>
              <w:bottom w:val="single" w:color="auto" w:sz="6" w:space="0"/>
            </w:tcBorders>
            <w:noWrap w:val="0"/>
            <w:vAlign w:val="top"/>
          </w:tcPr>
          <w:p w14:paraId="1470BECD">
            <w:pPr>
              <w:keepNext w:val="0"/>
              <w:keepLines w:val="0"/>
              <w:pageBreakBefore w:val="0"/>
              <w:widowControl w:val="0"/>
              <w:kinsoku/>
              <w:wordWrap/>
              <w:overflowPunct w:val="0"/>
              <w:topLinePunct w:val="0"/>
              <w:autoSpaceDE/>
              <w:autoSpaceDN/>
              <w:bidi w:val="0"/>
              <w:adjustRightInd/>
              <w:snapToGrid w:val="0"/>
              <w:spacing w:beforeLines="0" w:after="0" w:line="480" w:lineRule="exact"/>
              <w:ind w:left="320" w:leftChars="100" w:right="320" w:rightChars="100"/>
              <w:jc w:val="both"/>
              <w:textAlignment w:val="bottom"/>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承办人：</w:t>
            </w:r>
            <w:r>
              <w:rPr>
                <w:rFonts w:hint="eastAsia" w:ascii="Times New Roman" w:hAnsi="Times New Roman" w:cs="仿宋_GB2312"/>
                <w:sz w:val="28"/>
                <w:szCs w:val="28"/>
                <w:lang w:val="en-US" w:eastAsia="zh-CN"/>
              </w:rPr>
              <w:t>韩铜楹</w:t>
            </w:r>
            <w:r>
              <w:rPr>
                <w:rFonts w:hint="eastAsia" w:ascii="Times New Roman" w:hAnsi="Times New Roman" w:eastAsia="仿宋_GB2312" w:cs="仿宋_GB2312"/>
                <w:sz w:val="28"/>
                <w:szCs w:val="28"/>
                <w:lang w:val="en-US" w:eastAsia="zh-CN"/>
              </w:rPr>
              <w:t xml:space="preserve"> </w:t>
            </w:r>
            <w:r>
              <w:rPr>
                <w:rFonts w:hint="eastAsia" w:ascii="Times New Roman" w:hAnsi="Times New Roman" w:cs="仿宋_GB2312"/>
                <w:sz w:val="28"/>
                <w:szCs w:val="28"/>
                <w:lang w:val="en-US" w:eastAsia="zh-CN"/>
              </w:rPr>
              <w:t xml:space="preserve">       </w:t>
            </w:r>
            <w:r>
              <w:rPr>
                <w:rFonts w:hint="eastAsia" w:ascii="Times New Roman" w:hAnsi="Times New Roman" w:eastAsia="仿宋_GB2312" w:cs="仿宋_GB2312"/>
                <w:sz w:val="28"/>
                <w:szCs w:val="28"/>
                <w:lang w:val="en-US" w:eastAsia="zh-CN"/>
              </w:rPr>
              <w:t xml:space="preserve">   联系电话：61600</w:t>
            </w:r>
            <w:r>
              <w:rPr>
                <w:rFonts w:hint="eastAsia" w:ascii="Times New Roman" w:hAnsi="Times New Roman" w:cs="仿宋_GB2312"/>
                <w:sz w:val="28"/>
                <w:szCs w:val="28"/>
                <w:lang w:val="en-US" w:eastAsia="zh-CN"/>
              </w:rPr>
              <w:t xml:space="preserve">968          </w:t>
            </w:r>
            <w:r>
              <w:rPr>
                <w:rFonts w:hint="eastAsia" w:ascii="Times New Roman" w:hAnsi="Times New Roman" w:eastAsia="仿宋_GB2312" w:cs="仿宋_GB2312"/>
                <w:sz w:val="28"/>
                <w:szCs w:val="28"/>
                <w:lang w:val="en-US" w:eastAsia="zh-CN"/>
              </w:rPr>
              <w:t xml:space="preserve"> 邮政编码：473000</w:t>
            </w:r>
          </w:p>
        </w:tc>
      </w:tr>
      <w:tr w14:paraId="2E11BC1D">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825" w:hRule="exact"/>
          <w:jc w:val="center"/>
        </w:trPr>
        <w:tc>
          <w:tcPr>
            <w:tcW w:w="9025" w:type="dxa"/>
            <w:tcBorders>
              <w:top w:val="single" w:color="auto" w:sz="6" w:space="0"/>
              <w:bottom w:val="single" w:color="auto" w:sz="6" w:space="0"/>
            </w:tcBorders>
            <w:noWrap w:val="0"/>
            <w:vAlign w:val="top"/>
          </w:tcPr>
          <w:p w14:paraId="7116470A">
            <w:pPr>
              <w:keepNext w:val="0"/>
              <w:keepLines w:val="0"/>
              <w:pageBreakBefore w:val="0"/>
              <w:widowControl w:val="0"/>
              <w:kinsoku/>
              <w:wordWrap/>
              <w:overflowPunct w:val="0"/>
              <w:topLinePunct w:val="0"/>
              <w:autoSpaceDE/>
              <w:autoSpaceDN/>
              <w:bidi w:val="0"/>
              <w:adjustRightInd/>
              <w:snapToGrid w:val="0"/>
              <w:spacing w:beforeLines="0" w:after="0" w:line="400" w:lineRule="exact"/>
              <w:ind w:left="1440" w:leftChars="100" w:right="320" w:rightChars="100" w:hanging="1120" w:hangingChars="400"/>
              <w:jc w:val="both"/>
              <w:textAlignment w:val="bottom"/>
              <w:outlineLvl w:val="9"/>
              <w:rPr>
                <w:rFonts w:hint="eastAsia" w:ascii="Times New Roman" w:hAnsi="Times New Roman" w:eastAsia="仿宋_GB2312" w:cs="仿宋_GB2312"/>
                <w:spacing w:val="-14"/>
                <w:sz w:val="28"/>
                <w:szCs w:val="28"/>
                <w:highlight w:val="yellow"/>
              </w:rPr>
            </w:pPr>
            <w:r>
              <w:rPr>
                <w:rFonts w:hint="eastAsia" w:ascii="Times New Roman" w:hAnsi="Times New Roman" w:eastAsia="仿宋_GB2312" w:cs="仿宋_GB2312"/>
                <w:spacing w:val="0"/>
                <w:sz w:val="28"/>
                <w:szCs w:val="28"/>
              </w:rPr>
              <w:t>抄</w:t>
            </w:r>
            <w:r>
              <w:rPr>
                <w:rFonts w:hint="eastAsia" w:ascii="Times New Roman" w:hAnsi="Times New Roman" w:eastAsia="仿宋_GB2312" w:cs="仿宋_GB2312"/>
                <w:spacing w:val="0"/>
                <w:sz w:val="28"/>
                <w:szCs w:val="28"/>
                <w:lang w:val="en-US" w:eastAsia="zh-CN"/>
              </w:rPr>
              <w:t xml:space="preserve">   </w:t>
            </w:r>
            <w:r>
              <w:rPr>
                <w:rFonts w:hint="eastAsia" w:ascii="Times New Roman" w:hAnsi="Times New Roman" w:cs="仿宋_GB2312"/>
                <w:spacing w:val="0"/>
                <w:sz w:val="28"/>
                <w:szCs w:val="28"/>
                <w:lang w:val="en-US" w:eastAsia="zh-CN"/>
              </w:rPr>
              <w:t xml:space="preserve"> </w:t>
            </w:r>
            <w:r>
              <w:rPr>
                <w:rFonts w:hint="eastAsia" w:ascii="Times New Roman" w:hAnsi="Times New Roman" w:eastAsia="仿宋_GB2312" w:cs="仿宋_GB2312"/>
                <w:spacing w:val="0"/>
                <w:sz w:val="28"/>
                <w:szCs w:val="28"/>
              </w:rPr>
              <w:t>送</w:t>
            </w:r>
            <w:r>
              <w:rPr>
                <w:rFonts w:hint="eastAsia" w:ascii="Times New Roman" w:hAnsi="Times New Roman" w:cs="仿宋_GB2312"/>
                <w:spacing w:val="0"/>
                <w:sz w:val="28"/>
                <w:szCs w:val="28"/>
                <w:lang w:eastAsia="zh-CN"/>
              </w:rPr>
              <w:t>：</w:t>
            </w:r>
            <w:r>
              <w:rPr>
                <w:rFonts w:hint="eastAsia" w:ascii="Times New Roman" w:hAnsi="Times New Roman" w:cs="仿宋_GB2312"/>
                <w:spacing w:val="0"/>
                <w:sz w:val="28"/>
                <w:szCs w:val="28"/>
                <w:lang w:val="en-US" w:eastAsia="zh-CN"/>
              </w:rPr>
              <w:t>市</w:t>
            </w:r>
            <w:r>
              <w:rPr>
                <w:rFonts w:hint="eastAsia" w:ascii="Times New Roman" w:hAnsi="Times New Roman" w:cs="仿宋_GB2312"/>
                <w:spacing w:val="-6"/>
                <w:sz w:val="28"/>
                <w:szCs w:val="28"/>
                <w:lang w:val="en-US" w:eastAsia="zh-CN"/>
              </w:rPr>
              <w:t>政协提案委（3份），市委市政府督查局（1份）</w:t>
            </w:r>
          </w:p>
          <w:p w14:paraId="28599DFE">
            <w:pPr>
              <w:keepNext w:val="0"/>
              <w:keepLines w:val="0"/>
              <w:pageBreakBefore w:val="0"/>
              <w:widowControl w:val="0"/>
              <w:kinsoku/>
              <w:wordWrap/>
              <w:overflowPunct w:val="0"/>
              <w:topLinePunct w:val="0"/>
              <w:autoSpaceDE/>
              <w:autoSpaceDN/>
              <w:bidi w:val="0"/>
              <w:adjustRightInd/>
              <w:snapToGrid w:val="0"/>
              <w:spacing w:beforeLines="0" w:after="0" w:line="400" w:lineRule="exact"/>
              <w:ind w:left="1434" w:leftChars="448" w:right="320" w:rightChars="100" w:firstLine="0" w:firstLineChars="0"/>
              <w:jc w:val="both"/>
              <w:textAlignment w:val="bottom"/>
              <w:outlineLvl w:val="9"/>
              <w:rPr>
                <w:rFonts w:hint="eastAsia" w:ascii="Times New Roman" w:hAnsi="Times New Roman" w:eastAsia="仿宋_GB2312" w:cs="仿宋_GB2312"/>
                <w:spacing w:val="-14"/>
                <w:sz w:val="28"/>
                <w:szCs w:val="28"/>
              </w:rPr>
            </w:pPr>
          </w:p>
          <w:p w14:paraId="2EC140CE">
            <w:pPr>
              <w:keepNext w:val="0"/>
              <w:keepLines w:val="0"/>
              <w:pageBreakBefore w:val="0"/>
              <w:widowControl w:val="0"/>
              <w:kinsoku/>
              <w:wordWrap/>
              <w:overflowPunct w:val="0"/>
              <w:topLinePunct w:val="0"/>
              <w:autoSpaceDE/>
              <w:autoSpaceDN/>
              <w:bidi w:val="0"/>
              <w:adjustRightInd/>
              <w:snapToGrid w:val="0"/>
              <w:spacing w:beforeLines="0" w:line="480" w:lineRule="exact"/>
              <w:ind w:left="320" w:leftChars="100" w:right="320" w:rightChars="100"/>
              <w:jc w:val="both"/>
              <w:textAlignment w:val="bottom"/>
              <w:rPr>
                <w:rFonts w:hint="eastAsia" w:ascii="Times New Roman" w:hAnsi="Times New Roman" w:eastAsia="仿宋_GB2312" w:cs="仿宋_GB2312"/>
                <w:sz w:val="28"/>
                <w:szCs w:val="28"/>
              </w:rPr>
            </w:pPr>
          </w:p>
        </w:tc>
      </w:tr>
      <w:tr w14:paraId="5FD77711">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567" w:hRule="exact"/>
          <w:jc w:val="center"/>
        </w:trPr>
        <w:tc>
          <w:tcPr>
            <w:tcW w:w="9025" w:type="dxa"/>
            <w:tcBorders>
              <w:top w:val="single" w:color="auto" w:sz="6" w:space="0"/>
              <w:bottom w:val="single" w:color="auto" w:sz="6" w:space="0"/>
            </w:tcBorders>
            <w:noWrap w:val="0"/>
            <w:vAlign w:val="top"/>
          </w:tcPr>
          <w:p w14:paraId="5A7F8B3E">
            <w:pPr>
              <w:keepNext w:val="0"/>
              <w:keepLines w:val="0"/>
              <w:pageBreakBefore w:val="0"/>
              <w:widowControl w:val="0"/>
              <w:kinsoku/>
              <w:wordWrap/>
              <w:overflowPunct w:val="0"/>
              <w:topLinePunct w:val="0"/>
              <w:autoSpaceDE/>
              <w:autoSpaceDN/>
              <w:bidi w:val="0"/>
              <w:adjustRightInd/>
              <w:snapToGrid w:val="0"/>
              <w:spacing w:beforeLines="0" w:line="480" w:lineRule="exact"/>
              <w:ind w:left="320" w:leftChars="100" w:right="320" w:rightChars="100" w:firstLine="0" w:firstLineChars="0"/>
              <w:jc w:val="both"/>
              <w:textAlignment w:val="bottom"/>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rPr>
              <w:t xml:space="preserve">南阳市交通运输局办公室                </w:t>
            </w:r>
            <w:r>
              <w:rPr>
                <w:rFonts w:hint="eastAsia" w:ascii="Times New Roman" w:hAnsi="Times New Roman" w:cs="仿宋_GB2312"/>
                <w:sz w:val="28"/>
                <w:szCs w:val="28"/>
                <w:lang w:val="en-US" w:eastAsia="zh-CN"/>
              </w:rPr>
              <w:t xml:space="preserve">                     </w:t>
            </w:r>
            <w:r>
              <w:rPr>
                <w:rFonts w:hint="eastAsia" w:ascii="Times New Roman" w:hAnsi="Times New Roman" w:eastAsia="仿宋_GB2312" w:cs="仿宋_GB2312"/>
                <w:sz w:val="28"/>
                <w:szCs w:val="28"/>
              </w:rPr>
              <w:t>20</w:t>
            </w:r>
            <w:r>
              <w:rPr>
                <w:rFonts w:hint="eastAsia" w:ascii="Times New Roman" w:hAnsi="Times New Roman" w:eastAsia="仿宋_GB2312" w:cs="仿宋_GB2312"/>
                <w:sz w:val="28"/>
                <w:szCs w:val="28"/>
                <w:lang w:val="en-US" w:eastAsia="zh-CN"/>
              </w:rPr>
              <w:t>2</w:t>
            </w:r>
            <w:r>
              <w:rPr>
                <w:rFonts w:hint="eastAsia" w:ascii="Times New Roman" w:hAnsi="Times New Roman" w:cs="仿宋_GB2312"/>
                <w:sz w:val="28"/>
                <w:szCs w:val="28"/>
                <w:lang w:val="en-US" w:eastAsia="zh-CN"/>
              </w:rPr>
              <w:t>5</w:t>
            </w:r>
            <w:r>
              <w:rPr>
                <w:rFonts w:hint="eastAsia" w:ascii="Times New Roman" w:hAnsi="Times New Roman" w:eastAsia="仿宋_GB2312" w:cs="仿宋_GB2312"/>
                <w:sz w:val="28"/>
                <w:szCs w:val="28"/>
              </w:rPr>
              <w:t>年</w:t>
            </w:r>
            <w:r>
              <w:rPr>
                <w:rFonts w:hint="eastAsia" w:ascii="Times New Roman" w:hAnsi="Times New Roman" w:cs="仿宋_GB2312"/>
                <w:sz w:val="28"/>
                <w:szCs w:val="28"/>
                <w:lang w:val="en-US" w:eastAsia="zh-CN"/>
              </w:rPr>
              <w:t>9</w:t>
            </w:r>
            <w:r>
              <w:rPr>
                <w:rFonts w:hint="eastAsia" w:ascii="Times New Roman" w:hAnsi="Times New Roman" w:eastAsia="仿宋_GB2312" w:cs="仿宋_GB2312"/>
                <w:sz w:val="28"/>
                <w:szCs w:val="28"/>
              </w:rPr>
              <w:t>月</w:t>
            </w:r>
            <w:r>
              <w:rPr>
                <w:rFonts w:hint="eastAsia" w:ascii="Times New Roman" w:hAnsi="Times New Roman" w:cs="仿宋_GB2312"/>
                <w:sz w:val="28"/>
                <w:szCs w:val="28"/>
                <w:lang w:val="en-US" w:eastAsia="zh-CN"/>
              </w:rPr>
              <w:t>15</w:t>
            </w:r>
            <w:r>
              <w:rPr>
                <w:rFonts w:hint="eastAsia" w:ascii="Times New Roman" w:hAnsi="Times New Roman" w:eastAsia="仿宋_GB2312" w:cs="仿宋_GB2312"/>
                <w:sz w:val="28"/>
                <w:szCs w:val="28"/>
              </w:rPr>
              <w:t>日印</w:t>
            </w:r>
            <w:r>
              <w:rPr>
                <w:rFonts w:hint="eastAsia" w:ascii="Times New Roman" w:hAnsi="Times New Roman" w:cs="仿宋_GB2312"/>
                <w:sz w:val="28"/>
                <w:szCs w:val="28"/>
                <w:lang w:eastAsia="zh-CN"/>
              </w:rPr>
              <w:t>发</w:t>
            </w:r>
          </w:p>
        </w:tc>
      </w:tr>
    </w:tbl>
    <w:p w14:paraId="4E8D6598">
      <w:pPr>
        <w:tabs>
          <w:tab w:val="left" w:pos="1032"/>
        </w:tabs>
        <w:bidi w:val="0"/>
        <w:jc w:val="left"/>
        <w:rPr>
          <w:rFonts w:hint="eastAsia" w:ascii="Times New Roman" w:hAnsi="Times New Roman" w:eastAsia="仿宋_GB2312" w:cs="Times New Roman"/>
          <w:kern w:val="2"/>
          <w:sz w:val="32"/>
          <w:lang w:val="en-US" w:eastAsia="zh-CN" w:bidi="he-IL"/>
        </w:rPr>
      </w:pPr>
    </w:p>
    <w:sectPr>
      <w:headerReference r:id="rId5" w:type="default"/>
      <w:footerReference r:id="rId6" w:type="default"/>
      <w:pgSz w:w="11906" w:h="16838"/>
      <w:pgMar w:top="1928" w:right="1474" w:bottom="1701" w:left="1587" w:header="851" w:footer="1588" w:gutter="0"/>
      <w:pgBorders w:offsetFrom="page">
        <w:top w:val="none" w:sz="0" w:space="0"/>
        <w:left w:val="none" w:sz="0" w:space="0"/>
        <w:bottom w:val="none" w:sz="0" w:space="0"/>
        <w:right w:val="none" w:sz="0" w:space="0"/>
      </w:pgBorders>
      <w:cols w:space="720" w:num="1"/>
      <w:docGrid w:type="lines" w:linePitch="607" w:charSpace="1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249B">
    <w:pPr>
      <w:pStyle w:val="9"/>
      <w:framePr w:wrap="around" w:vAnchor="text" w:hAnchor="margin" w:xAlign="outside" w:y="1"/>
      <w:tabs>
        <w:tab w:val="clear" w:pos="4153"/>
      </w:tabs>
      <w:ind w:right="16" w:rightChars="5"/>
      <w:jc w:val="center"/>
      <w:rPr>
        <w:rStyle w:val="17"/>
        <w:rFonts w:hint="default" w:ascii="Times New Roman" w:hAnsi="Times New Roman" w:cs="Times New Roman"/>
        <w:sz w:val="28"/>
      </w:rPr>
    </w:pPr>
    <w:r>
      <w:rPr>
        <w:rStyle w:val="17"/>
        <w:rFonts w:hint="default" w:ascii="Times New Roman" w:hAnsi="Times New Roman" w:cs="Times New Roman"/>
        <w:sz w:val="28"/>
      </w:rPr>
      <w:t>—</w:t>
    </w:r>
    <w:r>
      <w:rPr>
        <w:rFonts w:hint="default" w:ascii="Times New Roman" w:hAnsi="Times New Roman" w:cs="Times New Roman"/>
        <w:sz w:val="28"/>
      </w:rPr>
      <w:fldChar w:fldCharType="begin"/>
    </w:r>
    <w:r>
      <w:rPr>
        <w:rStyle w:val="17"/>
        <w:rFonts w:hint="default" w:ascii="Times New Roman" w:hAnsi="Times New Roman" w:cs="Times New Roman"/>
        <w:sz w:val="28"/>
      </w:rPr>
      <w:instrText xml:space="preserve">PAGE  </w:instrText>
    </w:r>
    <w:r>
      <w:rPr>
        <w:rFonts w:hint="default" w:ascii="Times New Roman" w:hAnsi="Times New Roman" w:cs="Times New Roman"/>
        <w:sz w:val="28"/>
      </w:rPr>
      <w:fldChar w:fldCharType="separate"/>
    </w:r>
    <w:r>
      <w:rPr>
        <w:rStyle w:val="17"/>
        <w:rFonts w:hint="default" w:ascii="Times New Roman" w:hAnsi="Times New Roman" w:cs="Times New Roman"/>
        <w:sz w:val="28"/>
      </w:rPr>
      <w:t>1</w:t>
    </w:r>
    <w:r>
      <w:rPr>
        <w:rFonts w:hint="default" w:ascii="Times New Roman" w:hAnsi="Times New Roman" w:cs="Times New Roman"/>
        <w:sz w:val="28"/>
      </w:rPr>
      <w:fldChar w:fldCharType="end"/>
    </w:r>
    <w:r>
      <w:rPr>
        <w:rStyle w:val="17"/>
        <w:rFonts w:hint="default" w:ascii="Times New Roman" w:hAnsi="Times New Roman" w:cs="Times New Roman"/>
        <w:sz w:val="28"/>
      </w:rPr>
      <w:t>—</w:t>
    </w:r>
  </w:p>
  <w:p w14:paraId="420B546E">
    <w:pPr>
      <w:pStyle w:val="9"/>
      <w:tabs>
        <w:tab w:val="clear" w:pos="8306"/>
      </w:tabs>
      <w:ind w:right="360" w:firstLine="360"/>
      <w:rPr>
        <w:rFonts w:hint="default"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72738">
    <w:pPr>
      <w:pStyle w:val="10"/>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0"/>
  <w:drawingGridVerticalSpacing w:val="607"/>
  <w:displayHorizontalDrawingGridEvery w:val="1"/>
  <w:displayVerticalDrawingGridEvery w:val="1"/>
  <w:noPunctuationKerning w:val="1"/>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YzM4MjEwYmZiYjQ3MDdlOGY5MGQ5M2ZhODBmNWEifQ=="/>
    <w:docVar w:name="Doc Post Wizard Balloon" w:val="0"/>
    <w:docVar w:name="iDocStyle" w:val="1"/>
    <w:docVar w:name="KSO_WPS_MARK_KEY" w:val="008d062b-f3f9-43de-b1eb-f8490b8f4d3a"/>
  </w:docVars>
  <w:rsids>
    <w:rsidRoot w:val="00172A27"/>
    <w:rsid w:val="00033130"/>
    <w:rsid w:val="009772CD"/>
    <w:rsid w:val="02136CA6"/>
    <w:rsid w:val="04402E53"/>
    <w:rsid w:val="06A52660"/>
    <w:rsid w:val="06ED4D14"/>
    <w:rsid w:val="085A713A"/>
    <w:rsid w:val="092034D0"/>
    <w:rsid w:val="0E96765D"/>
    <w:rsid w:val="13366CA4"/>
    <w:rsid w:val="15AC4E3D"/>
    <w:rsid w:val="15D74AC7"/>
    <w:rsid w:val="162B7D31"/>
    <w:rsid w:val="168D108C"/>
    <w:rsid w:val="16C374E4"/>
    <w:rsid w:val="16CF73C1"/>
    <w:rsid w:val="17153EF8"/>
    <w:rsid w:val="171C6133"/>
    <w:rsid w:val="1AD70716"/>
    <w:rsid w:val="1B181693"/>
    <w:rsid w:val="1C87529E"/>
    <w:rsid w:val="1D2553EE"/>
    <w:rsid w:val="1D7A7FEF"/>
    <w:rsid w:val="1EDA0CCE"/>
    <w:rsid w:val="1F340FC0"/>
    <w:rsid w:val="243C7598"/>
    <w:rsid w:val="2444196A"/>
    <w:rsid w:val="25C822F6"/>
    <w:rsid w:val="27035654"/>
    <w:rsid w:val="2762362C"/>
    <w:rsid w:val="28437E58"/>
    <w:rsid w:val="289B47AA"/>
    <w:rsid w:val="2ABE0ADA"/>
    <w:rsid w:val="2F715BCC"/>
    <w:rsid w:val="308974AE"/>
    <w:rsid w:val="31C75679"/>
    <w:rsid w:val="34255A9B"/>
    <w:rsid w:val="3704484F"/>
    <w:rsid w:val="38252950"/>
    <w:rsid w:val="3C196E25"/>
    <w:rsid w:val="3E003673"/>
    <w:rsid w:val="3FFFC4FD"/>
    <w:rsid w:val="4117055F"/>
    <w:rsid w:val="42F34358"/>
    <w:rsid w:val="43425D39"/>
    <w:rsid w:val="437416ED"/>
    <w:rsid w:val="43921EAF"/>
    <w:rsid w:val="473110DC"/>
    <w:rsid w:val="473C166C"/>
    <w:rsid w:val="47553232"/>
    <w:rsid w:val="477F3C10"/>
    <w:rsid w:val="4A423569"/>
    <w:rsid w:val="4AC86B15"/>
    <w:rsid w:val="4BB42ABF"/>
    <w:rsid w:val="4D1C536A"/>
    <w:rsid w:val="51D85894"/>
    <w:rsid w:val="53DA724E"/>
    <w:rsid w:val="555308C0"/>
    <w:rsid w:val="58E171FB"/>
    <w:rsid w:val="590369E1"/>
    <w:rsid w:val="591E7715"/>
    <w:rsid w:val="5A0356E1"/>
    <w:rsid w:val="5BB2427F"/>
    <w:rsid w:val="5BEE38C3"/>
    <w:rsid w:val="5F8940F8"/>
    <w:rsid w:val="60655AC1"/>
    <w:rsid w:val="614A36C2"/>
    <w:rsid w:val="64693149"/>
    <w:rsid w:val="66624588"/>
    <w:rsid w:val="66A504F5"/>
    <w:rsid w:val="67145DB8"/>
    <w:rsid w:val="679D1732"/>
    <w:rsid w:val="67C279C8"/>
    <w:rsid w:val="68525699"/>
    <w:rsid w:val="68B07650"/>
    <w:rsid w:val="690860AE"/>
    <w:rsid w:val="6C356421"/>
    <w:rsid w:val="6C602EA1"/>
    <w:rsid w:val="6D20794B"/>
    <w:rsid w:val="6E2A4841"/>
    <w:rsid w:val="6FDFDEAB"/>
    <w:rsid w:val="70B76908"/>
    <w:rsid w:val="70FE27E6"/>
    <w:rsid w:val="74CC462D"/>
    <w:rsid w:val="76CF38B6"/>
    <w:rsid w:val="775D2914"/>
    <w:rsid w:val="78767001"/>
    <w:rsid w:val="789B04AB"/>
    <w:rsid w:val="7A0A223C"/>
    <w:rsid w:val="7AAD1E09"/>
    <w:rsid w:val="7B3062B0"/>
    <w:rsid w:val="7B943204"/>
    <w:rsid w:val="7B9C10D8"/>
    <w:rsid w:val="7CA77B0E"/>
    <w:rsid w:val="7DE1253A"/>
    <w:rsid w:val="7F7A6EC6"/>
    <w:rsid w:val="7FFF32CC"/>
    <w:rsid w:val="F33E8A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kern w:val="2"/>
      <w:sz w:val="32"/>
      <w:lang w:val="en-US" w:eastAsia="zh-CN" w:bidi="he-IL"/>
    </w:rPr>
  </w:style>
  <w:style w:type="paragraph" w:styleId="2">
    <w:name w:val="heading 1"/>
    <w:basedOn w:val="1"/>
    <w:next w:val="1"/>
    <w:link w:val="19"/>
    <w:uiPriority w:val="0"/>
    <w:pPr>
      <w:keepNext/>
      <w:keepLines/>
      <w:spacing w:before="340" w:beforeLines="0" w:after="330" w:afterLines="0" w:line="578" w:lineRule="auto"/>
      <w:outlineLvl w:val="0"/>
    </w:pPr>
    <w:rPr>
      <w:rFonts w:ascii="Calibri" w:hAnsi="Calibri" w:eastAsia="宋体"/>
      <w:b/>
      <w:bCs/>
      <w:kern w:val="44"/>
      <w:sz w:val="44"/>
      <w:szCs w:val="44"/>
      <w:lang w:bidi="ar-SA"/>
    </w:rPr>
  </w:style>
  <w:style w:type="character" w:default="1" w:styleId="15">
    <w:name w:val="Default Paragraph Font"/>
    <w:link w:val="16"/>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next w:val="1"/>
    <w:qFormat/>
    <w:uiPriority w:val="0"/>
    <w:pPr>
      <w:spacing w:after="120" w:afterLines="0"/>
    </w:pPr>
  </w:style>
  <w:style w:type="paragraph" w:styleId="5">
    <w:name w:val="Body Text Indent"/>
    <w:basedOn w:val="1"/>
    <w:link w:val="20"/>
    <w:qFormat/>
    <w:uiPriority w:val="0"/>
    <w:pPr>
      <w:ind w:firstLine="658"/>
      <w:textAlignment w:val="bottom"/>
    </w:pPr>
    <w:rPr>
      <w:rFonts w:ascii="仿宋_GB2312"/>
      <w:snapToGrid w:val="0"/>
      <w:kern w:val="0"/>
    </w:rPr>
  </w:style>
  <w:style w:type="paragraph" w:styleId="6">
    <w:name w:val="Block Text"/>
    <w:basedOn w:val="1"/>
    <w:qFormat/>
    <w:uiPriority w:val="0"/>
    <w:pPr>
      <w:spacing w:before="60" w:beforeLines="0" w:line="318" w:lineRule="atLeast"/>
      <w:ind w:left="1315" w:leftChars="100" w:right="321" w:rightChars="100" w:hanging="994" w:hangingChars="310"/>
      <w:textAlignment w:val="bottom"/>
    </w:pPr>
    <w:rPr>
      <w:rFonts w:ascii="仿宋_GB2312"/>
    </w:rPr>
  </w:style>
  <w:style w:type="paragraph" w:styleId="7">
    <w:name w:val="Plain Text"/>
    <w:basedOn w:val="1"/>
    <w:qFormat/>
    <w:uiPriority w:val="0"/>
    <w:pPr>
      <w:spacing w:line="240" w:lineRule="auto"/>
    </w:pPr>
    <w:rPr>
      <w:rFonts w:ascii="宋体" w:hAnsi="Courier New" w:eastAsia="宋体" w:cs="Courier New"/>
      <w:sz w:val="21"/>
      <w:szCs w:val="21"/>
      <w:lang w:bidi="ar-SA"/>
    </w:rPr>
  </w:style>
  <w:style w:type="paragraph" w:styleId="8">
    <w:name w:val="Date"/>
    <w:basedOn w:val="1"/>
    <w:next w:val="1"/>
    <w:qFormat/>
    <w:uiPriority w:val="0"/>
    <w:pPr>
      <w:ind w:left="100" w:leftChars="2500"/>
    </w:pPr>
    <w:rPr>
      <w:rFonts w:ascii="仿宋_GB2312"/>
      <w:snapToGrid w:val="0"/>
      <w:spacing w:val="-6"/>
      <w:kern w:val="0"/>
    </w:rPr>
  </w:style>
  <w:style w:type="paragraph" w:styleId="9">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0">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1">
    <w:name w:val="Body Text Indent 3"/>
    <w:basedOn w:val="1"/>
    <w:qFormat/>
    <w:uiPriority w:val="0"/>
    <w:pPr>
      <w:spacing w:after="120" w:afterLines="0"/>
      <w:ind w:left="420" w:leftChars="200"/>
    </w:pPr>
    <w:rPr>
      <w:sz w:val="16"/>
      <w:szCs w:val="16"/>
    </w:rPr>
  </w:style>
  <w:style w:type="paragraph" w:styleId="12">
    <w:name w:val="Body Text 2"/>
    <w:basedOn w:val="1"/>
    <w:qFormat/>
    <w:uiPriority w:val="0"/>
    <w:pPr>
      <w:spacing w:line="560" w:lineRule="exact"/>
      <w:jc w:val="center"/>
    </w:pPr>
    <w:rPr>
      <w:rFonts w:eastAsia="宋体"/>
      <w:b/>
      <w:bCs/>
    </w:rPr>
  </w:style>
  <w:style w:type="paragraph" w:styleId="13">
    <w:name w:val="Normal (Web)"/>
    <w:basedOn w:val="1"/>
    <w:next w:val="1"/>
    <w:semiHidden/>
    <w:qFormat/>
    <w:uiPriority w:val="0"/>
    <w:pPr>
      <w:widowControl/>
      <w:shd w:val="clear" w:color="auto" w:fill="FFFFFF"/>
      <w:spacing w:before="100" w:beforeLines="0" w:beforeAutospacing="1" w:after="100" w:afterLines="0" w:afterAutospacing="1" w:line="450" w:lineRule="atLeast"/>
      <w:jc w:val="left"/>
    </w:pPr>
    <w:rPr>
      <w:rFonts w:ascii="宋体" w:hAnsi="宋体" w:eastAsia="宋体" w:cs="宋体"/>
      <w:kern w:val="0"/>
      <w:sz w:val="24"/>
      <w:szCs w:val="24"/>
      <w:lang w:bidi="ar-SA"/>
    </w:rPr>
  </w:style>
  <w:style w:type="paragraph" w:customStyle="1" w:styleId="16">
    <w:name w:val=" Char Char Char Char Char Char Char Char Char Char Char Char Char"/>
    <w:basedOn w:val="3"/>
    <w:link w:val="15"/>
    <w:qFormat/>
    <w:uiPriority w:val="0"/>
    <w:pPr>
      <w:adjustRightInd w:val="0"/>
      <w:spacing w:line="436" w:lineRule="exact"/>
      <w:ind w:left="357"/>
      <w:jc w:val="left"/>
      <w:outlineLvl w:val="3"/>
    </w:pPr>
    <w:rPr>
      <w:rFonts w:ascii="Tahoma" w:hAnsi="Tahoma" w:eastAsia="宋体"/>
      <w:b/>
      <w:sz w:val="44"/>
      <w:szCs w:val="24"/>
      <w:lang w:bidi="ar-SA"/>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标题 1 Char"/>
    <w:basedOn w:val="15"/>
    <w:link w:val="2"/>
    <w:qFormat/>
    <w:uiPriority w:val="0"/>
    <w:rPr>
      <w:rFonts w:ascii="Calibri" w:hAnsi="Calibri" w:eastAsia="宋体"/>
      <w:b/>
      <w:bCs/>
      <w:kern w:val="44"/>
      <w:sz w:val="44"/>
      <w:szCs w:val="44"/>
      <w:lang w:val="en-US" w:eastAsia="zh-CN" w:bidi="ar-SA"/>
    </w:rPr>
  </w:style>
  <w:style w:type="character" w:customStyle="1" w:styleId="20">
    <w:name w:val=" Char Char1"/>
    <w:basedOn w:val="15"/>
    <w:link w:val="5"/>
    <w:semiHidden/>
    <w:qFormat/>
    <w:uiPriority w:val="0"/>
    <w:rPr>
      <w:rFonts w:ascii="仿宋_GB2312" w:eastAsia="仿宋_GB2312"/>
      <w:snapToGrid w:val="0"/>
      <w:sz w:val="32"/>
      <w:lang w:val="en-US" w:eastAsia="zh-CN" w:bidi="he-IL"/>
    </w:rPr>
  </w:style>
  <w:style w:type="character" w:customStyle="1" w:styleId="21">
    <w:name w:val=" Char Char"/>
    <w:basedOn w:val="15"/>
    <w:qFormat/>
    <w:uiPriority w:val="0"/>
    <w:rPr>
      <w:rFonts w:ascii="仿宋_GB2312" w:hAnsi="Times New Roman" w:eastAsia="仿宋_GB2312"/>
      <w:snapToGrid w:val="0"/>
      <w:sz w:val="32"/>
      <w:lang w:bidi="he-IL"/>
    </w:rPr>
  </w:style>
  <w:style w:type="character" w:customStyle="1" w:styleId="22">
    <w:name w:val="ca-11"/>
    <w:basedOn w:val="15"/>
    <w:qFormat/>
    <w:uiPriority w:val="0"/>
    <w:rPr>
      <w:rFonts w:hint="eastAsia" w:ascii="仿宋_GB2312" w:eastAsia="仿宋_GB2312"/>
      <w:sz w:val="28"/>
      <w:szCs w:val="28"/>
    </w:rPr>
  </w:style>
  <w:style w:type="character" w:customStyle="1" w:styleId="23">
    <w:name w:val="content1"/>
    <w:basedOn w:val="15"/>
    <w:qFormat/>
    <w:uiPriority w:val="0"/>
    <w:rPr>
      <w:sz w:val="21"/>
      <w:szCs w:val="21"/>
    </w:rPr>
  </w:style>
  <w:style w:type="character" w:customStyle="1" w:styleId="24">
    <w:name w:val="apple-converted-space"/>
    <w:basedOn w:val="15"/>
    <w:qFormat/>
    <w:uiPriority w:val="0"/>
  </w:style>
  <w:style w:type="character" w:customStyle="1" w:styleId="25">
    <w:name w:val="html_txt1"/>
    <w:basedOn w:val="15"/>
    <w:qFormat/>
    <w:uiPriority w:val="0"/>
    <w:rPr>
      <w:color w:val="000000"/>
    </w:rPr>
  </w:style>
  <w:style w:type="paragraph" w:customStyle="1" w:styleId="26">
    <w:name w:val="p0"/>
    <w:basedOn w:val="1"/>
    <w:qFormat/>
    <w:uiPriority w:val="0"/>
    <w:pPr>
      <w:widowControl/>
      <w:spacing w:before="100" w:beforeLines="0" w:beforeAutospacing="1" w:after="100" w:afterLines="0" w:afterAutospacing="1" w:line="240" w:lineRule="auto"/>
      <w:jc w:val="left"/>
    </w:pPr>
    <w:rPr>
      <w:rFonts w:ascii="宋体" w:hAnsi="宋体" w:eastAsia="宋体" w:cs="宋体"/>
      <w:kern w:val="0"/>
      <w:sz w:val="24"/>
      <w:szCs w:val="24"/>
      <w:lang w:bidi="ar-SA"/>
    </w:rPr>
  </w:style>
  <w:style w:type="paragraph" w:customStyle="1" w:styleId="27">
    <w:name w:val="样式1"/>
    <w:basedOn w:val="1"/>
    <w:qFormat/>
    <w:uiPriority w:val="0"/>
    <w:pPr>
      <w:spacing w:line="600" w:lineRule="exact"/>
      <w:ind w:firstLine="200" w:firstLineChars="200"/>
    </w:pPr>
    <w:rPr>
      <w:rFonts w:eastAsia="仿宋_GB2312"/>
      <w:szCs w:val="24"/>
    </w:rPr>
  </w:style>
  <w:style w:type="paragraph" w:customStyle="1" w:styleId="28">
    <w:name w:val="pa-2"/>
    <w:basedOn w:val="1"/>
    <w:qFormat/>
    <w:uiPriority w:val="0"/>
    <w:pPr>
      <w:widowControl/>
      <w:spacing w:before="100" w:beforeLines="0" w:beforeAutospacing="1" w:after="100" w:afterLines="0" w:afterAutospacing="1" w:line="320" w:lineRule="atLeast"/>
      <w:jc w:val="center"/>
    </w:pPr>
    <w:rPr>
      <w:rFonts w:ascii="宋体" w:hAnsi="宋体" w:eastAsia="宋体" w:cs="宋体"/>
      <w:kern w:val="0"/>
      <w:sz w:val="24"/>
      <w:szCs w:val="24"/>
      <w:lang w:bidi="ar-SA"/>
    </w:rPr>
  </w:style>
  <w:style w:type="paragraph" w:customStyle="1" w:styleId="2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Char Char Char Char Char Char Char Char Char Char Char Char Char"/>
    <w:basedOn w:val="3"/>
    <w:qFormat/>
    <w:uiPriority w:val="0"/>
    <w:pPr>
      <w:adjustRightInd w:val="0"/>
      <w:spacing w:line="436" w:lineRule="exact"/>
      <w:ind w:left="357"/>
      <w:jc w:val="left"/>
      <w:outlineLvl w:val="3"/>
    </w:pPr>
    <w:rPr>
      <w:rFonts w:ascii="Tahoma" w:hAnsi="Tahoma" w:eastAsia="宋体"/>
      <w:b/>
      <w:sz w:val="44"/>
      <w:szCs w:val="24"/>
      <w:lang w:bidi="ar-SA"/>
    </w:rPr>
  </w:style>
  <w:style w:type="paragraph" w:customStyle="1" w:styleId="31">
    <w:name w:val="列出段落"/>
    <w:basedOn w:val="1"/>
    <w:qFormat/>
    <w:uiPriority w:val="0"/>
    <w:pPr>
      <w:spacing w:line="240" w:lineRule="auto"/>
      <w:ind w:firstLine="420" w:firstLineChars="200"/>
    </w:pPr>
    <w:rPr>
      <w:rFonts w:ascii="Calibri" w:hAnsi="Calibri" w:eastAsia="宋体"/>
      <w:sz w:val="21"/>
      <w:szCs w:val="22"/>
      <w:lang w:bidi="ar-SA"/>
    </w:rPr>
  </w:style>
  <w:style w:type="paragraph" w:customStyle="1" w:styleId="32">
    <w:name w:val="0"/>
    <w:basedOn w:val="1"/>
    <w:qFormat/>
    <w:uiPriority w:val="0"/>
    <w:pPr>
      <w:widowControl/>
      <w:snapToGrid w:val="0"/>
      <w:spacing w:line="240" w:lineRule="auto"/>
    </w:pPr>
    <w:rPr>
      <w:rFonts w:eastAsia="宋体"/>
      <w:kern w:val="0"/>
      <w:sz w:val="20"/>
      <w:lang w:bidi="ar-SA"/>
    </w:rPr>
  </w:style>
  <w:style w:type="paragraph" w:customStyle="1" w:styleId="33">
    <w:name w:val="样式 正文001 + 首行缩进:  2 字符1"/>
    <w:basedOn w:val="1"/>
    <w:qFormat/>
    <w:uiPriority w:val="0"/>
    <w:pPr>
      <w:spacing w:before="60" w:after="100" w:afterAutospacing="1" w:line="460" w:lineRule="exact"/>
      <w:ind w:firstLine="480" w:firstLineChars="200"/>
    </w:pPr>
    <w:rPr>
      <w:rFonts w:ascii="宋体" w:hAnsi="宋体" w:cs="宋体"/>
      <w:sz w:val="24"/>
    </w:rPr>
  </w:style>
  <w:style w:type="paragraph" w:customStyle="1" w:styleId="34">
    <w:name w:val="BodyText1I"/>
    <w:basedOn w:val="35"/>
    <w:qFormat/>
    <w:uiPriority w:val="0"/>
    <w:pPr>
      <w:ind w:firstLine="856" w:firstLineChars="200"/>
    </w:pPr>
    <w:rPr>
      <w:rFonts w:eastAsia="文星仿宋"/>
      <w:sz w:val="32"/>
      <w:szCs w:val="22"/>
    </w:rPr>
  </w:style>
  <w:style w:type="paragraph" w:customStyle="1" w:styleId="35">
    <w:name w:val="BodyText"/>
    <w:basedOn w:val="1"/>
    <w:next w:val="1"/>
    <w:qFormat/>
    <w:uiPriority w:val="0"/>
    <w:pPr>
      <w:widowControl/>
      <w:spacing w:after="120"/>
      <w:textAlignment w:val="baseline"/>
    </w:pPr>
  </w:style>
  <w:style w:type="character" w:customStyle="1" w:styleId="36">
    <w:name w:val="font21"/>
    <w:basedOn w:val="15"/>
    <w:qFormat/>
    <w:uiPriority w:val="0"/>
    <w:rPr>
      <w:rFonts w:hint="default" w:ascii="华文中宋" w:hAnsi="华文中宋" w:eastAsia="华文中宋" w:cs="华文中宋"/>
      <w:color w:val="000000"/>
      <w:sz w:val="22"/>
      <w:szCs w:val="22"/>
      <w:u w:val="none"/>
    </w:rPr>
  </w:style>
  <w:style w:type="character" w:customStyle="1" w:styleId="37">
    <w:name w:val="font31"/>
    <w:basedOn w:val="15"/>
    <w:qFormat/>
    <w:uiPriority w:val="0"/>
    <w:rPr>
      <w:rFonts w:hint="default" w:ascii="Times New Roman" w:hAnsi="Times New Roman" w:cs="Times New Roman"/>
      <w:color w:val="000000"/>
      <w:sz w:val="22"/>
      <w:szCs w:val="22"/>
      <w:u w:val="none"/>
    </w:rPr>
  </w:style>
  <w:style w:type="character" w:customStyle="1" w:styleId="38">
    <w:name w:val="font41"/>
    <w:basedOn w:val="15"/>
    <w:qFormat/>
    <w:uiPriority w:val="0"/>
    <w:rPr>
      <w:rFonts w:hint="default" w:ascii="华文中宋" w:hAnsi="华文中宋" w:eastAsia="华文中宋" w:cs="华文中宋"/>
      <w:color w:val="000000"/>
      <w:sz w:val="24"/>
      <w:szCs w:val="24"/>
      <w:u w:val="none"/>
    </w:rPr>
  </w:style>
  <w:style w:type="character" w:customStyle="1" w:styleId="39">
    <w:name w:val="font51"/>
    <w:basedOn w:val="1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微软（中国）有限公司</Company>
  <Pages>6</Pages>
  <Words>2400</Words>
  <Characters>2459</Characters>
  <Lines>10</Lines>
  <Paragraphs>2</Paragraphs>
  <TotalTime>17</TotalTime>
  <ScaleCrop>false</ScaleCrop>
  <LinksUpToDate>false</LinksUpToDate>
  <CharactersWithSpaces>2679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2014-07-09T02:28:00Z</dcterms:created>
  <dc:creator>wys</dc:creator>
  <cp:lastModifiedBy>夏目</cp:lastModifiedBy>
  <cp:lastPrinted>2025-09-17T02:16:16Z</cp:lastPrinted>
  <dcterms:modified xsi:type="dcterms:W3CDTF">2025-09-17T02:16:17Z</dcterms:modified>
  <dc:title>公文向导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2052</vt:r8>
  </property>
  <property fmtid="{D5CDD505-2E9C-101B-9397-08002B2CF9AE}" pid="3" name="KSOProductBuildVer">
    <vt:lpwstr>2052-12.1.0.22529</vt:lpwstr>
  </property>
  <property fmtid="{D5CDD505-2E9C-101B-9397-08002B2CF9AE}" pid="4" name="ICV">
    <vt:lpwstr>87C4B85826954FFC9D6466EC2BA58853_13</vt:lpwstr>
  </property>
  <property fmtid="{D5CDD505-2E9C-101B-9397-08002B2CF9AE}" pid="5" name="KSOTemplateDocerSaveRecord">
    <vt:lpwstr>eyJoZGlkIjoiNzAyYjBjYjFlMzA2ZjA1ZjQ0ZDlkYWMxOWJlNDA2YmYiLCJ1c2VySWQiOiI1ODI5NjcwNDIifQ==</vt:lpwstr>
  </property>
</Properties>
</file>