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E667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pacing w:val="-23"/>
          <w:sz w:val="40"/>
          <w:szCs w:val="40"/>
          <w:highlight w:val="none"/>
        </w:rPr>
      </w:pPr>
      <w:r>
        <w:rPr>
          <w:rFonts w:hint="eastAsia" w:ascii="方正小标宋_GBK" w:hAnsi="方正小标宋_GBK" w:eastAsia="方正小标宋_GBK" w:cs="方正小标宋_GBK"/>
          <w:spacing w:val="-23"/>
          <w:sz w:val="40"/>
          <w:szCs w:val="40"/>
          <w:highlight w:val="none"/>
          <w:lang w:val="en-US" w:eastAsia="zh-CN"/>
        </w:rPr>
        <w:t>南阳</w:t>
      </w:r>
      <w:r>
        <w:rPr>
          <w:rFonts w:hint="eastAsia" w:ascii="方正小标宋_GBK" w:hAnsi="方正小标宋_GBK" w:eastAsia="方正小标宋_GBK" w:cs="方正小标宋_GBK"/>
          <w:spacing w:val="-23"/>
          <w:sz w:val="40"/>
          <w:szCs w:val="40"/>
          <w:highlight w:val="none"/>
        </w:rPr>
        <w:t>市交通运输局</w:t>
      </w:r>
      <w:r>
        <w:rPr>
          <w:rFonts w:hint="eastAsia" w:ascii="方正小标宋_GBK" w:hAnsi="方正小标宋_GBK" w:eastAsia="方正小标宋_GBK" w:cs="方正小标宋_GBK"/>
          <w:spacing w:val="-23"/>
          <w:sz w:val="40"/>
          <w:szCs w:val="40"/>
          <w:highlight w:val="none"/>
          <w:lang w:val="en-US" w:eastAsia="zh-CN"/>
        </w:rPr>
        <w:t xml:space="preserve">  </w:t>
      </w:r>
      <w:r>
        <w:rPr>
          <w:rFonts w:hint="eastAsia" w:ascii="方正小标宋_GBK" w:hAnsi="方正小标宋_GBK" w:eastAsia="方正小标宋_GBK" w:cs="方正小标宋_GBK"/>
          <w:spacing w:val="-23"/>
          <w:sz w:val="40"/>
          <w:szCs w:val="40"/>
          <w:highlight w:val="none"/>
        </w:rPr>
        <w:t>国家金融监督管理总局</w:t>
      </w:r>
      <w:r>
        <w:rPr>
          <w:rFonts w:hint="eastAsia" w:ascii="方正小标宋_GBK" w:hAnsi="方正小标宋_GBK" w:eastAsia="方正小标宋_GBK" w:cs="方正小标宋_GBK"/>
          <w:spacing w:val="-23"/>
          <w:sz w:val="40"/>
          <w:szCs w:val="40"/>
          <w:highlight w:val="none"/>
          <w:lang w:val="en-US" w:eastAsia="zh-CN"/>
        </w:rPr>
        <w:t>南阳</w:t>
      </w:r>
      <w:r>
        <w:rPr>
          <w:rFonts w:hint="eastAsia" w:ascii="方正小标宋_GBK" w:hAnsi="方正小标宋_GBK" w:eastAsia="方正小标宋_GBK" w:cs="方正小标宋_GBK"/>
          <w:spacing w:val="-23"/>
          <w:sz w:val="40"/>
          <w:szCs w:val="40"/>
          <w:highlight w:val="none"/>
        </w:rPr>
        <w:t>监管分局</w:t>
      </w:r>
    </w:p>
    <w:p w14:paraId="4BCC420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0"/>
          <w:szCs w:val="40"/>
          <w:highlight w:val="none"/>
        </w:rPr>
      </w:pPr>
      <w:r>
        <w:rPr>
          <w:rFonts w:hint="eastAsia" w:ascii="方正小标宋_GBK" w:hAnsi="方正小标宋_GBK" w:eastAsia="方正小标宋_GBK" w:cs="方正小标宋_GBK"/>
          <w:sz w:val="40"/>
          <w:szCs w:val="40"/>
          <w:highlight w:val="none"/>
        </w:rPr>
        <w:t>关于</w:t>
      </w:r>
      <w:r>
        <w:rPr>
          <w:rFonts w:hint="eastAsia" w:ascii="方正小标宋_GBK" w:hAnsi="方正小标宋_GBK" w:eastAsia="方正小标宋_GBK" w:cs="方正小标宋_GBK"/>
          <w:sz w:val="40"/>
          <w:szCs w:val="40"/>
          <w:highlight w:val="none"/>
          <w:lang w:eastAsia="zh-CN"/>
        </w:rPr>
        <w:t>“交通</w:t>
      </w:r>
      <w:r>
        <w:rPr>
          <w:rFonts w:hint="eastAsia" w:ascii="方正小标宋_GBK" w:hAnsi="方正小标宋_GBK" w:eastAsia="方正小标宋_GBK" w:cs="方正小标宋_GBK"/>
          <w:sz w:val="40"/>
          <w:szCs w:val="40"/>
          <w:highlight w:val="none"/>
        </w:rPr>
        <w:t>信用+保险</w:t>
      </w:r>
      <w:r>
        <w:rPr>
          <w:rFonts w:hint="eastAsia" w:ascii="方正小标宋_GBK" w:hAnsi="方正小标宋_GBK" w:eastAsia="方正小标宋_GBK" w:cs="方正小标宋_GBK"/>
          <w:sz w:val="40"/>
          <w:szCs w:val="40"/>
          <w:highlight w:val="none"/>
          <w:lang w:eastAsia="zh-CN"/>
        </w:rPr>
        <w:t>业”联动</w:t>
      </w:r>
      <w:r>
        <w:rPr>
          <w:rFonts w:hint="eastAsia" w:ascii="方正小标宋_GBK" w:hAnsi="方正小标宋_GBK" w:eastAsia="方正小标宋_GBK" w:cs="方正小标宋_GBK"/>
          <w:sz w:val="40"/>
          <w:szCs w:val="40"/>
          <w:highlight w:val="none"/>
          <w:lang w:val="en-US" w:eastAsia="zh-CN"/>
        </w:rPr>
        <w:t>助力规范</w:t>
      </w:r>
      <w:r>
        <w:rPr>
          <w:rFonts w:hint="eastAsia" w:ascii="方正小标宋_GBK" w:hAnsi="方正小标宋_GBK" w:eastAsia="方正小标宋_GBK" w:cs="方正小标宋_GBK"/>
          <w:sz w:val="40"/>
          <w:szCs w:val="40"/>
          <w:highlight w:val="none"/>
        </w:rPr>
        <w:t>网约车</w:t>
      </w:r>
    </w:p>
    <w:p w14:paraId="0250F67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0"/>
          <w:szCs w:val="40"/>
          <w:highlight w:val="none"/>
          <w:lang w:val="en-US" w:eastAsia="zh-CN"/>
        </w:rPr>
      </w:pPr>
      <w:r>
        <w:rPr>
          <w:rFonts w:hint="eastAsia" w:ascii="方正小标宋_GBK" w:hAnsi="方正小标宋_GBK" w:eastAsia="方正小标宋_GBK" w:cs="方正小标宋_GBK"/>
          <w:sz w:val="40"/>
          <w:szCs w:val="40"/>
          <w:highlight w:val="none"/>
          <w:lang w:eastAsia="zh-CN"/>
        </w:rPr>
        <w:t>运输</w:t>
      </w:r>
      <w:r>
        <w:rPr>
          <w:rFonts w:hint="eastAsia" w:ascii="方正小标宋_GBK" w:hAnsi="方正小标宋_GBK" w:eastAsia="方正小标宋_GBK" w:cs="方正小标宋_GBK"/>
          <w:sz w:val="40"/>
          <w:szCs w:val="40"/>
          <w:highlight w:val="none"/>
          <w:lang w:val="en-US" w:eastAsia="zh-CN"/>
        </w:rPr>
        <w:t>市场的</w:t>
      </w:r>
      <w:r>
        <w:rPr>
          <w:rFonts w:hint="eastAsia" w:ascii="方正小标宋_GBK" w:hAnsi="方正小标宋_GBK" w:eastAsia="方正小标宋_GBK" w:cs="方正小标宋_GBK"/>
          <w:sz w:val="40"/>
          <w:szCs w:val="40"/>
          <w:highlight w:val="none"/>
          <w:lang w:eastAsia="zh-CN"/>
        </w:rPr>
        <w:t>指导意见（</w:t>
      </w:r>
      <w:r>
        <w:rPr>
          <w:rFonts w:hint="eastAsia" w:ascii="方正小标宋_GBK" w:hAnsi="方正小标宋_GBK" w:eastAsia="方正小标宋_GBK" w:cs="方正小标宋_GBK"/>
          <w:sz w:val="40"/>
          <w:szCs w:val="40"/>
          <w:highlight w:val="none"/>
          <w:lang w:val="en-US" w:eastAsia="zh-CN"/>
        </w:rPr>
        <w:t>征求意见稿</w:t>
      </w:r>
      <w:r>
        <w:rPr>
          <w:rFonts w:hint="eastAsia" w:ascii="方正小标宋_GBK" w:hAnsi="方正小标宋_GBK" w:eastAsia="方正小标宋_GBK" w:cs="方正小标宋_GBK"/>
          <w:sz w:val="40"/>
          <w:szCs w:val="40"/>
          <w:highlight w:val="none"/>
          <w:lang w:eastAsia="zh-CN"/>
        </w:rPr>
        <w:t>）</w:t>
      </w:r>
    </w:p>
    <w:p w14:paraId="41E404D3">
      <w:pPr>
        <w:keepNext w:val="0"/>
        <w:keepLines w:val="0"/>
        <w:pageBreakBefore w:val="0"/>
        <w:widowControl w:val="0"/>
        <w:kinsoku/>
        <w:wordWrap/>
        <w:overflowPunct/>
        <w:topLinePunct w:val="0"/>
        <w:autoSpaceDE/>
        <w:autoSpaceDN/>
        <w:bidi w:val="0"/>
        <w:adjustRightInd/>
        <w:snapToGrid/>
        <w:spacing w:line="540" w:lineRule="exact"/>
        <w:textAlignment w:val="auto"/>
        <w:rPr>
          <w:highlight w:val="none"/>
        </w:rPr>
      </w:pPr>
    </w:p>
    <w:p w14:paraId="71CC5B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各县（市、区）交通运输局</w:t>
      </w:r>
      <w:r>
        <w:rPr>
          <w:rFonts w:hint="eastAsia"/>
          <w:highlight w:val="none"/>
          <w:lang w:val="en-US" w:eastAsia="zh-CN"/>
        </w:rPr>
        <w:t>及局属相关单位</w:t>
      </w:r>
      <w:r>
        <w:rPr>
          <w:rFonts w:hint="eastAsia"/>
          <w:highlight w:val="none"/>
        </w:rPr>
        <w:t>，</w:t>
      </w:r>
      <w:r>
        <w:rPr>
          <w:rFonts w:hint="eastAsia"/>
          <w:highlight w:val="none"/>
          <w:lang w:val="en-US" w:eastAsia="zh-CN"/>
        </w:rPr>
        <w:t>各金融监管支局</w:t>
      </w:r>
      <w:r>
        <w:rPr>
          <w:rFonts w:hint="eastAsia"/>
          <w:highlight w:val="none"/>
          <w:lang w:eastAsia="zh-CN"/>
        </w:rPr>
        <w:t>，</w:t>
      </w:r>
      <w:r>
        <w:rPr>
          <w:rFonts w:hint="eastAsia"/>
          <w:color w:val="auto"/>
          <w:highlight w:val="none"/>
          <w:lang w:eastAsia="zh-CN"/>
        </w:rPr>
        <w:t>南阳</w:t>
      </w:r>
      <w:r>
        <w:rPr>
          <w:rFonts w:hint="eastAsia"/>
          <w:color w:val="auto"/>
          <w:highlight w:val="none"/>
        </w:rPr>
        <w:t>市保险行业协会，</w:t>
      </w:r>
      <w:r>
        <w:rPr>
          <w:rFonts w:hint="eastAsia"/>
          <w:color w:val="auto"/>
          <w:highlight w:val="none"/>
          <w:lang w:eastAsia="zh-CN"/>
        </w:rPr>
        <w:t>南阳</w:t>
      </w:r>
      <w:r>
        <w:rPr>
          <w:rFonts w:hint="eastAsia"/>
          <w:color w:val="auto"/>
          <w:highlight w:val="none"/>
        </w:rPr>
        <w:t>辖区各财产保险机构：</w:t>
      </w:r>
    </w:p>
    <w:p w14:paraId="61A0FA50">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cs="Times New Roman"/>
          <w:spacing w:val="3"/>
          <w:sz w:val="32"/>
          <w:szCs w:val="32"/>
          <w:highlight w:val="none"/>
          <w:lang w:val="en-US" w:eastAsia="zh-CN"/>
        </w:rPr>
      </w:pPr>
      <w:r>
        <w:rPr>
          <w:rFonts w:hint="eastAsia" w:ascii="Times New Roman" w:hAnsi="Times New Roman" w:cs="Times New Roman"/>
          <w:spacing w:val="3"/>
          <w:sz w:val="32"/>
          <w:szCs w:val="32"/>
          <w:highlight w:val="none"/>
          <w:lang w:val="en-US" w:eastAsia="zh-CN"/>
        </w:rPr>
        <w:t>为持续深化我市交通运输信用体系建设，积极探索创新联合监管模式，深度融合交通运输行业治理与保险行业保障，实现二者协同联动高效，根据《网络预约出租汽车经营服务管理暂行办法》（交通运输部等六部委令2019年第46号）、《中国银保监会关于银行业保险业支持城市建设和治理的指导意见》（银保监发〔2022〕10号）文件精神，制定本管理办法。通过建立信用承诺约束机制、执法保险联动机制，着力营造公平有序竞争环境，加速推进网约车合规化进程，切实提升现代化监管效能，有效防范行业系统性风险，全面促进我市网约车行业向标准化、规范化、集约化方向高质量发展。</w:t>
      </w:r>
    </w:p>
    <w:p w14:paraId="46540358">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黑体" w:hAnsi="黑体" w:eastAsia="黑体" w:cs="黑体"/>
          <w:spacing w:val="3"/>
          <w:sz w:val="32"/>
          <w:szCs w:val="32"/>
          <w:highlight w:val="none"/>
          <w:lang w:val="en-US" w:eastAsia="zh-CN"/>
        </w:rPr>
      </w:pPr>
      <w:r>
        <w:rPr>
          <w:rFonts w:hint="eastAsia" w:ascii="黑体" w:hAnsi="黑体" w:eastAsia="黑体" w:cs="黑体"/>
          <w:spacing w:val="3"/>
          <w:sz w:val="32"/>
          <w:szCs w:val="32"/>
          <w:highlight w:val="none"/>
          <w:lang w:val="en-US" w:eastAsia="zh-CN"/>
        </w:rPr>
        <w:t>一、基本原则</w:t>
      </w:r>
    </w:p>
    <w:p w14:paraId="298C98A1">
      <w:pPr>
        <w:keepNext w:val="0"/>
        <w:keepLines w:val="0"/>
        <w:pageBreakBefore w:val="0"/>
        <w:widowControl w:val="0"/>
        <w:kinsoku/>
        <w:wordWrap/>
        <w:overflowPunct/>
        <w:topLinePunct w:val="0"/>
        <w:autoSpaceDE/>
        <w:autoSpaceDN/>
        <w:bidi w:val="0"/>
        <w:adjustRightInd/>
        <w:snapToGrid/>
        <w:spacing w:line="560" w:lineRule="exact"/>
        <w:ind w:firstLine="655" w:firstLineChars="200"/>
        <w:textAlignment w:val="auto"/>
        <w:rPr>
          <w:rFonts w:hint="eastAsia" w:ascii="楷体_GB2312" w:hAnsi="楷体_GB2312" w:eastAsia="楷体_GB2312" w:cs="楷体_GB2312"/>
          <w:b/>
          <w:bCs/>
          <w:spacing w:val="3"/>
          <w:sz w:val="32"/>
          <w:szCs w:val="32"/>
          <w:highlight w:val="none"/>
          <w:lang w:val="en-US" w:eastAsia="zh-CN"/>
        </w:rPr>
      </w:pPr>
      <w:r>
        <w:rPr>
          <w:rFonts w:hint="eastAsia" w:ascii="楷体_GB2312" w:hAnsi="楷体_GB2312" w:eastAsia="楷体_GB2312" w:cs="楷体_GB2312"/>
          <w:b/>
          <w:bCs/>
          <w:spacing w:val="3"/>
          <w:sz w:val="32"/>
          <w:szCs w:val="32"/>
          <w:highlight w:val="none"/>
          <w:lang w:val="en-US" w:eastAsia="zh-CN"/>
        </w:rPr>
        <w:t>（一）加强信用约束，引导网约车行业自律发展</w:t>
      </w:r>
    </w:p>
    <w:p w14:paraId="3315AF1E">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default" w:ascii="Times New Roman" w:hAnsi="Times New Roman" w:cs="Times New Roman"/>
          <w:spacing w:val="3"/>
          <w:sz w:val="32"/>
          <w:szCs w:val="32"/>
          <w:highlight w:val="none"/>
          <w:lang w:val="en-US" w:eastAsia="zh-CN"/>
        </w:rPr>
      </w:pPr>
      <w:r>
        <w:rPr>
          <w:rFonts w:hint="default" w:ascii="Times New Roman" w:hAnsi="Times New Roman" w:cs="Times New Roman"/>
          <w:spacing w:val="3"/>
          <w:sz w:val="32"/>
          <w:szCs w:val="32"/>
          <w:highlight w:val="none"/>
          <w:lang w:val="en-US" w:eastAsia="zh-CN"/>
        </w:rPr>
        <w:t>强化信用管理在网约车行业治理中的基础性作用，通过建立健全信用评价体系，对网约车平台、司机及车辆进行全方位、动态化的信用评估。对信用良好的主体给予激励，如优先享受政策支持、降低监管频次等；对信用不良的主体实施约束，如提高监管频次、限制运营资格等，以此引导网约车行业形成自我约束、自我规范的良好氛围，促进市场健康有序发展。</w:t>
      </w:r>
    </w:p>
    <w:p w14:paraId="6F57183D">
      <w:pPr>
        <w:keepNext w:val="0"/>
        <w:keepLines w:val="0"/>
        <w:pageBreakBefore w:val="0"/>
        <w:widowControl w:val="0"/>
        <w:kinsoku/>
        <w:wordWrap/>
        <w:overflowPunct/>
        <w:topLinePunct w:val="0"/>
        <w:autoSpaceDE/>
        <w:autoSpaceDN/>
        <w:bidi w:val="0"/>
        <w:adjustRightInd/>
        <w:snapToGrid/>
        <w:spacing w:line="560" w:lineRule="exact"/>
        <w:ind w:firstLine="655" w:firstLineChars="200"/>
        <w:textAlignment w:val="auto"/>
        <w:rPr>
          <w:rFonts w:hint="eastAsia" w:ascii="楷体_GB2312" w:hAnsi="楷体_GB2312" w:eastAsia="楷体_GB2312" w:cs="楷体_GB2312"/>
          <w:b/>
          <w:bCs/>
          <w:spacing w:val="3"/>
          <w:sz w:val="32"/>
          <w:szCs w:val="32"/>
          <w:highlight w:val="none"/>
          <w:lang w:val="en-US" w:eastAsia="zh-CN"/>
        </w:rPr>
      </w:pPr>
      <w:r>
        <w:rPr>
          <w:rFonts w:hint="eastAsia" w:ascii="楷体_GB2312" w:hAnsi="楷体_GB2312" w:eastAsia="楷体_GB2312" w:cs="楷体_GB2312"/>
          <w:b/>
          <w:bCs/>
          <w:spacing w:val="3"/>
          <w:sz w:val="32"/>
          <w:szCs w:val="32"/>
          <w:highlight w:val="none"/>
          <w:lang w:val="en-US" w:eastAsia="zh-CN"/>
        </w:rPr>
        <w:t>（二）加强保险支持，保障网约车行业稳健发展</w:t>
      </w:r>
    </w:p>
    <w:p w14:paraId="03CC6A7D">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cs="Times New Roman"/>
          <w:spacing w:val="3"/>
          <w:sz w:val="32"/>
          <w:szCs w:val="32"/>
          <w:highlight w:val="none"/>
          <w:lang w:val="en-US" w:eastAsia="zh-CN"/>
        </w:rPr>
      </w:pPr>
      <w:r>
        <w:rPr>
          <w:rFonts w:hint="eastAsia" w:ascii="Times New Roman" w:hAnsi="Times New Roman" w:cs="Times New Roman"/>
          <w:spacing w:val="3"/>
          <w:sz w:val="32"/>
          <w:szCs w:val="32"/>
          <w:highlight w:val="none"/>
          <w:lang w:val="en-US" w:eastAsia="zh-CN"/>
        </w:rPr>
        <w:t>坚持统筹协调与精准施策相结合，科学配置保险资源，引导承保机构优化产品供给，创新开发适配网约车行业特征的机动车辆保险、承运人责任险等多元化保障方案，构建多层次风险分担机制。深化服务质效改革，推行理赔服务标准化、智能化建设，开辟快速理赔通道，切实保障司机与乘客合法权益。</w:t>
      </w:r>
    </w:p>
    <w:p w14:paraId="61163D10">
      <w:pPr>
        <w:keepNext w:val="0"/>
        <w:keepLines w:val="0"/>
        <w:pageBreakBefore w:val="0"/>
        <w:widowControl w:val="0"/>
        <w:kinsoku/>
        <w:wordWrap/>
        <w:overflowPunct/>
        <w:topLinePunct w:val="0"/>
        <w:autoSpaceDE/>
        <w:autoSpaceDN/>
        <w:bidi w:val="0"/>
        <w:adjustRightInd/>
        <w:snapToGrid/>
        <w:spacing w:line="560" w:lineRule="exact"/>
        <w:ind w:firstLine="655" w:firstLineChars="200"/>
        <w:textAlignment w:val="auto"/>
        <w:rPr>
          <w:rFonts w:hint="eastAsia" w:ascii="Times New Roman" w:hAnsi="Times New Roman" w:cs="Times New Roman"/>
          <w:spacing w:val="3"/>
          <w:sz w:val="32"/>
          <w:szCs w:val="32"/>
          <w:highlight w:val="none"/>
          <w:lang w:val="en-US" w:eastAsia="zh-CN"/>
        </w:rPr>
      </w:pPr>
      <w:r>
        <w:rPr>
          <w:rFonts w:hint="eastAsia" w:ascii="楷体_GB2312" w:hAnsi="楷体_GB2312" w:eastAsia="楷体_GB2312" w:cs="楷体_GB2312"/>
          <w:b/>
          <w:bCs/>
          <w:spacing w:val="3"/>
          <w:sz w:val="32"/>
          <w:szCs w:val="32"/>
          <w:highlight w:val="none"/>
          <w:lang w:val="en-US" w:eastAsia="zh-CN"/>
        </w:rPr>
        <w:t>（三）加强联合管理，推动网约车行业合规前行</w:t>
      </w:r>
    </w:p>
    <w:p w14:paraId="1210E9E3">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cs="Times New Roman"/>
          <w:spacing w:val="3"/>
          <w:sz w:val="32"/>
          <w:szCs w:val="32"/>
          <w:highlight w:val="none"/>
          <w:lang w:val="en-US" w:eastAsia="zh-CN"/>
        </w:rPr>
      </w:pPr>
      <w:r>
        <w:rPr>
          <w:rFonts w:hint="eastAsia" w:ascii="Times New Roman" w:hAnsi="Times New Roman" w:cs="Times New Roman"/>
          <w:spacing w:val="3"/>
          <w:sz w:val="32"/>
          <w:szCs w:val="32"/>
          <w:highlight w:val="none"/>
          <w:lang w:val="en-US" w:eastAsia="zh-CN"/>
        </w:rPr>
        <w:t>强化风险源头管控，建立经营性车辆全周期风险管理体系，严格核保核查机制，防范车辆混淆使用性质违规承保风险。推动政企数据融通，搭建行业信息共享平台，实现营运数据、保险承保与交通监管实时联动，通过数据赋能提升风险管理精准度，构筑合规经营长效机制，为网约车行业高质量发展提供保险保障支撑。</w:t>
      </w:r>
    </w:p>
    <w:p w14:paraId="7F0BCCD9">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default" w:ascii="黑体" w:hAnsi="黑体" w:eastAsia="黑体" w:cs="黑体"/>
          <w:spacing w:val="3"/>
          <w:sz w:val="32"/>
          <w:szCs w:val="32"/>
          <w:highlight w:val="none"/>
          <w:lang w:val="en-US" w:eastAsia="zh-CN"/>
        </w:rPr>
      </w:pPr>
      <w:r>
        <w:rPr>
          <w:rFonts w:hint="eastAsia" w:ascii="黑体" w:hAnsi="黑体" w:eastAsia="黑体" w:cs="黑体"/>
          <w:spacing w:val="3"/>
          <w:sz w:val="32"/>
          <w:szCs w:val="32"/>
          <w:highlight w:val="none"/>
          <w:lang w:val="en-US" w:eastAsia="zh-CN"/>
        </w:rPr>
        <w:t>二、深化网约车行业的信用评价和守信激励</w:t>
      </w:r>
    </w:p>
    <w:p w14:paraId="5FE9679D">
      <w:pPr>
        <w:keepNext w:val="0"/>
        <w:keepLines w:val="0"/>
        <w:pageBreakBefore w:val="0"/>
        <w:widowControl w:val="0"/>
        <w:kinsoku/>
        <w:wordWrap/>
        <w:overflowPunct/>
        <w:topLinePunct w:val="0"/>
        <w:autoSpaceDE/>
        <w:autoSpaceDN/>
        <w:bidi w:val="0"/>
        <w:adjustRightInd/>
        <w:snapToGrid/>
        <w:spacing w:line="560" w:lineRule="exact"/>
        <w:ind w:firstLine="655" w:firstLineChars="200"/>
        <w:textAlignment w:val="auto"/>
        <w:rPr>
          <w:rFonts w:hint="eastAsia" w:ascii="Times New Roman" w:hAnsi="Times New Roman" w:cs="Times New Roman"/>
          <w:spacing w:val="3"/>
          <w:sz w:val="32"/>
          <w:szCs w:val="32"/>
          <w:highlight w:val="none"/>
          <w:lang w:val="en-US" w:eastAsia="zh-CN"/>
        </w:rPr>
      </w:pPr>
      <w:r>
        <w:rPr>
          <w:rFonts w:hint="eastAsia" w:ascii="楷体_GB2312" w:hAnsi="楷体_GB2312" w:eastAsia="楷体_GB2312" w:cs="楷体_GB2312"/>
          <w:b/>
          <w:bCs/>
          <w:spacing w:val="3"/>
          <w:sz w:val="32"/>
          <w:szCs w:val="32"/>
          <w:highlight w:val="none"/>
          <w:lang w:val="en-US" w:eastAsia="zh-CN"/>
        </w:rPr>
        <w:t>（一）建立动态信用档案。</w:t>
      </w:r>
      <w:r>
        <w:rPr>
          <w:rFonts w:hint="eastAsia" w:ascii="Times New Roman" w:hAnsi="Times New Roman" w:cs="Times New Roman"/>
          <w:spacing w:val="3"/>
          <w:sz w:val="32"/>
          <w:szCs w:val="32"/>
          <w:highlight w:val="none"/>
          <w:lang w:val="en-US" w:eastAsia="zh-CN"/>
        </w:rPr>
        <w:t>整合网约车平台运营数据（订单履约率、投诉响应时效）、综合执法信息（违规处罚、事故责任认定）、</w:t>
      </w:r>
      <w:r>
        <w:rPr>
          <w:rFonts w:hint="eastAsia" w:ascii="Times New Roman" w:hAnsi="Times New Roman" w:cs="Times New Roman"/>
          <w:color w:val="auto"/>
          <w:spacing w:val="3"/>
          <w:sz w:val="32"/>
          <w:szCs w:val="32"/>
          <w:highlight w:val="none"/>
          <w:lang w:val="en-US" w:eastAsia="zh-CN"/>
        </w:rPr>
        <w:t>网约车驾驶员诚信考核结果（</w:t>
      </w:r>
      <w:r>
        <w:rPr>
          <w:rFonts w:hint="eastAsia" w:ascii="Times New Roman" w:hAnsi="Times New Roman" w:cs="Times New Roman"/>
          <w:spacing w:val="3"/>
          <w:sz w:val="32"/>
          <w:szCs w:val="32"/>
          <w:highlight w:val="none"/>
          <w:lang w:val="en-US" w:eastAsia="zh-CN"/>
        </w:rPr>
        <w:t>无感审批服务系统</w:t>
      </w:r>
      <w:r>
        <w:rPr>
          <w:rFonts w:hint="eastAsia" w:ascii="Times New Roman" w:hAnsi="Times New Roman" w:cs="Times New Roman"/>
          <w:color w:val="auto"/>
          <w:spacing w:val="3"/>
          <w:sz w:val="32"/>
          <w:szCs w:val="32"/>
          <w:highlight w:val="none"/>
          <w:lang w:val="en-US" w:eastAsia="zh-CN"/>
        </w:rPr>
        <w:t>评价）、</w:t>
      </w:r>
      <w:r>
        <w:rPr>
          <w:rFonts w:hint="eastAsia" w:ascii="Times New Roman" w:hAnsi="Times New Roman" w:cs="Times New Roman"/>
          <w:spacing w:val="3"/>
          <w:sz w:val="32"/>
          <w:szCs w:val="32"/>
          <w:highlight w:val="none"/>
          <w:lang w:val="en-US" w:eastAsia="zh-CN"/>
        </w:rPr>
        <w:t>保险机构理赔数据（出险频次、骗保骗赔行为），构建覆盖车辆、驾驶员、平台的三维信用档案库，实现“一车一档”“一人一档”动态更新。</w:t>
      </w:r>
    </w:p>
    <w:p w14:paraId="3BCA76C0">
      <w:pPr>
        <w:keepNext w:val="0"/>
        <w:keepLines w:val="0"/>
        <w:pageBreakBefore w:val="0"/>
        <w:widowControl w:val="0"/>
        <w:kinsoku/>
        <w:wordWrap/>
        <w:overflowPunct/>
        <w:topLinePunct w:val="0"/>
        <w:autoSpaceDE/>
        <w:autoSpaceDN/>
        <w:bidi w:val="0"/>
        <w:adjustRightInd/>
        <w:snapToGrid/>
        <w:spacing w:line="560" w:lineRule="exact"/>
        <w:ind w:firstLine="655" w:firstLineChars="200"/>
        <w:textAlignment w:val="auto"/>
        <w:rPr>
          <w:rFonts w:hint="eastAsia" w:ascii="Times New Roman" w:hAnsi="Times New Roman" w:cs="Times New Roman"/>
          <w:spacing w:val="3"/>
          <w:sz w:val="32"/>
          <w:szCs w:val="32"/>
          <w:highlight w:val="none"/>
          <w:lang w:val="en-US" w:eastAsia="zh-CN"/>
        </w:rPr>
      </w:pPr>
      <w:r>
        <w:rPr>
          <w:rFonts w:hint="eastAsia" w:ascii="楷体_GB2312" w:hAnsi="楷体_GB2312" w:eastAsia="楷体_GB2312" w:cs="楷体_GB2312"/>
          <w:b/>
          <w:bCs/>
          <w:spacing w:val="3"/>
          <w:sz w:val="32"/>
          <w:szCs w:val="32"/>
          <w:highlight w:val="none"/>
          <w:lang w:val="en-US" w:eastAsia="zh-CN"/>
        </w:rPr>
        <w:t>（二）实施分级分类监管。</w:t>
      </w:r>
      <w:r>
        <w:rPr>
          <w:rFonts w:hint="eastAsia" w:ascii="Times New Roman" w:hAnsi="Times New Roman" w:cs="Times New Roman"/>
          <w:spacing w:val="3"/>
          <w:sz w:val="32"/>
          <w:szCs w:val="32"/>
          <w:highlight w:val="none"/>
          <w:lang w:val="en-US" w:eastAsia="zh-CN"/>
        </w:rPr>
        <w:t>充分应用南阳市交通运输局无感审批服务系统、南阳市“宛信分”等信息化评价结果，建立交通运输信用评价模型，生成平台和车辆信用等级（AAA、AA、A、B级），并向社会公示。根据平台和车辆的信用评级，给予相应的激励约束机制。</w:t>
      </w:r>
    </w:p>
    <w:p w14:paraId="7284B5E7">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cs="Times New Roman"/>
          <w:spacing w:val="3"/>
          <w:sz w:val="32"/>
          <w:szCs w:val="32"/>
          <w:highlight w:val="none"/>
          <w:lang w:val="en-US" w:eastAsia="zh-CN"/>
        </w:rPr>
      </w:pPr>
      <w:r>
        <w:rPr>
          <w:rFonts w:hint="eastAsia" w:ascii="Times New Roman" w:hAnsi="Times New Roman" w:cs="Times New Roman"/>
          <w:spacing w:val="3"/>
          <w:sz w:val="32"/>
          <w:szCs w:val="32"/>
          <w:highlight w:val="none"/>
          <w:lang w:val="en-US" w:eastAsia="zh-CN"/>
        </w:rPr>
        <w:t>信用评级为AAA的网约车：一是投保机动车险时，可简化投保车辆风险查验手续；二是保险期间发生交通事故，符合交强险优先垫付条件的可进行优先垫付；三是可享受保险投保和理赔专人对接服务。</w:t>
      </w:r>
    </w:p>
    <w:p w14:paraId="01A67865">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cs="Times New Roman"/>
          <w:spacing w:val="3"/>
          <w:sz w:val="32"/>
          <w:szCs w:val="32"/>
          <w:highlight w:val="none"/>
          <w:lang w:val="en-US" w:eastAsia="zh-CN"/>
        </w:rPr>
      </w:pPr>
      <w:r>
        <w:rPr>
          <w:rFonts w:hint="eastAsia" w:ascii="Times New Roman" w:hAnsi="Times New Roman" w:cs="Times New Roman"/>
          <w:spacing w:val="3"/>
          <w:sz w:val="32"/>
          <w:szCs w:val="32"/>
          <w:highlight w:val="none"/>
          <w:lang w:val="en-US" w:eastAsia="zh-CN"/>
        </w:rPr>
        <w:t>信用评级为AA的网约车：一是投保机动车险时，审核投保车辆风险查验正常手续；二是保险期间发生交通事故，符合交强险优先垫付条件的可进行优先垫付；三是可享受保险理赔专人对接服务。</w:t>
      </w:r>
    </w:p>
    <w:p w14:paraId="516524DE">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cs="Times New Roman"/>
          <w:spacing w:val="3"/>
          <w:sz w:val="32"/>
          <w:szCs w:val="32"/>
          <w:highlight w:val="none"/>
          <w:lang w:val="en-US" w:eastAsia="zh-CN"/>
        </w:rPr>
      </w:pPr>
      <w:r>
        <w:rPr>
          <w:rFonts w:hint="eastAsia" w:ascii="Times New Roman" w:hAnsi="Times New Roman" w:cs="Times New Roman"/>
          <w:spacing w:val="3"/>
          <w:sz w:val="32"/>
          <w:szCs w:val="32"/>
          <w:highlight w:val="none"/>
          <w:lang w:val="en-US" w:eastAsia="zh-CN"/>
        </w:rPr>
        <w:t>信用评级为A的的网约车：一是投保机动车险时，审核投保车辆风险查验正常手续；二是可享受保险理赔专人对接服务。</w:t>
      </w:r>
    </w:p>
    <w:p w14:paraId="56365E7A">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cs="Times New Roman"/>
          <w:spacing w:val="3"/>
          <w:sz w:val="32"/>
          <w:szCs w:val="32"/>
          <w:highlight w:val="none"/>
          <w:lang w:val="en-US" w:eastAsia="zh-CN"/>
        </w:rPr>
      </w:pPr>
      <w:r>
        <w:rPr>
          <w:rFonts w:hint="eastAsia" w:ascii="Times New Roman" w:hAnsi="Times New Roman" w:cs="Times New Roman"/>
          <w:spacing w:val="3"/>
          <w:sz w:val="32"/>
          <w:szCs w:val="32"/>
          <w:highlight w:val="none"/>
          <w:lang w:val="en-US" w:eastAsia="zh-CN"/>
        </w:rPr>
        <w:t>信用评级为B的的网约车：一是投保机动车险时，严格审核投保车辆风险查验手续；二是对投保人定期回访进行风险评估，评估结果反馈交通运输主管部门，引导及督查平台企业加强车辆及驾驶员的安全生产管理。</w:t>
      </w:r>
    </w:p>
    <w:p w14:paraId="3012D04F">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default" w:ascii="黑体" w:hAnsi="黑体" w:eastAsia="黑体" w:cs="黑体"/>
          <w:spacing w:val="3"/>
          <w:sz w:val="32"/>
          <w:szCs w:val="32"/>
          <w:highlight w:val="none"/>
          <w:lang w:val="en-US" w:eastAsia="zh-CN"/>
        </w:rPr>
      </w:pPr>
      <w:r>
        <w:rPr>
          <w:rFonts w:hint="eastAsia" w:ascii="黑体" w:hAnsi="黑体" w:eastAsia="黑体" w:cs="黑体"/>
          <w:spacing w:val="3"/>
          <w:sz w:val="32"/>
          <w:szCs w:val="32"/>
          <w:highlight w:val="none"/>
          <w:lang w:val="en-US" w:eastAsia="zh-CN"/>
        </w:rPr>
        <w:t>三、强化“保险服务+信用承诺”双重保障</w:t>
      </w:r>
    </w:p>
    <w:p w14:paraId="1D7BFCE1">
      <w:pPr>
        <w:keepNext w:val="0"/>
        <w:keepLines w:val="0"/>
        <w:pageBreakBefore w:val="0"/>
        <w:widowControl w:val="0"/>
        <w:kinsoku/>
        <w:wordWrap/>
        <w:overflowPunct/>
        <w:topLinePunct w:val="0"/>
        <w:autoSpaceDE/>
        <w:autoSpaceDN/>
        <w:bidi w:val="0"/>
        <w:adjustRightInd/>
        <w:snapToGrid/>
        <w:spacing w:line="560" w:lineRule="exact"/>
        <w:ind w:firstLine="655" w:firstLineChars="200"/>
        <w:textAlignment w:val="auto"/>
        <w:rPr>
          <w:rFonts w:hint="default" w:ascii="Times New Roman" w:hAnsi="Times New Roman" w:cs="Times New Roman"/>
          <w:spacing w:val="3"/>
          <w:sz w:val="32"/>
          <w:szCs w:val="32"/>
          <w:highlight w:val="none"/>
          <w:lang w:val="en-US" w:eastAsia="zh-CN"/>
        </w:rPr>
      </w:pPr>
      <w:r>
        <w:rPr>
          <w:rFonts w:hint="eastAsia" w:ascii="楷体_GB2312" w:hAnsi="楷体_GB2312" w:eastAsia="楷体_GB2312" w:cs="楷体_GB2312"/>
          <w:b/>
          <w:bCs/>
          <w:spacing w:val="3"/>
          <w:sz w:val="32"/>
          <w:szCs w:val="32"/>
          <w:highlight w:val="none"/>
          <w:lang w:val="en-US" w:eastAsia="zh-CN"/>
        </w:rPr>
        <w:t>（一）优化保险资源配置。</w:t>
      </w:r>
      <w:r>
        <w:rPr>
          <w:rFonts w:hint="eastAsia" w:ascii="Times New Roman" w:hAnsi="Times New Roman" w:cs="Times New Roman"/>
          <w:spacing w:val="3"/>
          <w:sz w:val="32"/>
          <w:szCs w:val="32"/>
          <w:highlight w:val="none"/>
          <w:lang w:val="en-US" w:eastAsia="zh-CN"/>
        </w:rPr>
        <w:t>各财产保险机构及网约车平台企业应积极参与到为城市交通运输提供保险保障过程中，提升网约车行业抗风险能力；承保机构应结合网约车经营的实际状况，采取有效措施为网约车提供保险保障，创新保险服务模式，丰富保险服务内容，助力网约车行业规范运营。鼓励对出险率低、驾驶习惯好的从业者，提供差异化服务。</w:t>
      </w:r>
    </w:p>
    <w:p w14:paraId="7FCF8530">
      <w:pPr>
        <w:keepNext w:val="0"/>
        <w:keepLines w:val="0"/>
        <w:pageBreakBefore w:val="0"/>
        <w:widowControl w:val="0"/>
        <w:kinsoku/>
        <w:wordWrap/>
        <w:overflowPunct/>
        <w:topLinePunct w:val="0"/>
        <w:autoSpaceDE/>
        <w:autoSpaceDN/>
        <w:bidi w:val="0"/>
        <w:adjustRightInd/>
        <w:snapToGrid/>
        <w:spacing w:line="560" w:lineRule="exact"/>
        <w:ind w:firstLine="655" w:firstLineChars="200"/>
        <w:textAlignment w:val="auto"/>
        <w:rPr>
          <w:rFonts w:hint="eastAsia" w:ascii="Times New Roman" w:hAnsi="Times New Roman" w:cs="Times New Roman"/>
          <w:spacing w:val="3"/>
          <w:sz w:val="32"/>
          <w:szCs w:val="32"/>
          <w:highlight w:val="none"/>
          <w:lang w:val="en-US" w:eastAsia="zh-CN"/>
        </w:rPr>
      </w:pPr>
      <w:r>
        <w:rPr>
          <w:rFonts w:hint="eastAsia" w:ascii="楷体_GB2312" w:hAnsi="楷体_GB2312" w:eastAsia="楷体_GB2312" w:cs="楷体_GB2312"/>
          <w:b/>
          <w:bCs/>
          <w:spacing w:val="3"/>
          <w:sz w:val="32"/>
          <w:szCs w:val="32"/>
          <w:highlight w:val="none"/>
          <w:lang w:val="en-US" w:eastAsia="zh-CN"/>
        </w:rPr>
        <w:t>（二）提升保险流程服务。</w:t>
      </w:r>
      <w:r>
        <w:rPr>
          <w:rFonts w:hint="eastAsia" w:ascii="Times New Roman" w:hAnsi="Times New Roman" w:cs="Times New Roman"/>
          <w:spacing w:val="3"/>
          <w:sz w:val="32"/>
          <w:szCs w:val="32"/>
          <w:highlight w:val="none"/>
          <w:lang w:val="en-US" w:eastAsia="zh-CN"/>
        </w:rPr>
        <w:t>承保机构应优化理赔流程，高效、快捷地对规范运营的从业人员进行保险理赔；鼓励承保机构在依法合规前提下，以减少风险隐患、降低重大风险隐患为目的，积极为投保人提供风险减量服务。</w:t>
      </w:r>
    </w:p>
    <w:p w14:paraId="4D16F18C">
      <w:pPr>
        <w:keepNext w:val="0"/>
        <w:keepLines w:val="0"/>
        <w:pageBreakBefore w:val="0"/>
        <w:widowControl w:val="0"/>
        <w:kinsoku/>
        <w:wordWrap/>
        <w:overflowPunct/>
        <w:topLinePunct w:val="0"/>
        <w:autoSpaceDE/>
        <w:autoSpaceDN/>
        <w:bidi w:val="0"/>
        <w:adjustRightInd/>
        <w:snapToGrid/>
        <w:spacing w:line="560" w:lineRule="exact"/>
        <w:ind w:firstLine="655" w:firstLineChars="200"/>
        <w:textAlignment w:val="auto"/>
        <w:rPr>
          <w:rFonts w:hint="eastAsia" w:ascii="Times New Roman" w:hAnsi="Times New Roman" w:cs="Times New Roman"/>
          <w:b/>
          <w:bCs/>
          <w:spacing w:val="3"/>
          <w:sz w:val="32"/>
          <w:szCs w:val="32"/>
          <w:highlight w:val="none"/>
          <w:lang w:val="en-US" w:eastAsia="zh-CN"/>
        </w:rPr>
      </w:pPr>
      <w:r>
        <w:rPr>
          <w:rFonts w:hint="eastAsia" w:ascii="Times New Roman" w:hAnsi="Times New Roman" w:cs="Times New Roman"/>
          <w:b/>
          <w:bCs/>
          <w:spacing w:val="3"/>
          <w:sz w:val="32"/>
          <w:szCs w:val="32"/>
          <w:highlight w:val="none"/>
          <w:lang w:val="en-US" w:eastAsia="zh-CN"/>
        </w:rPr>
        <w:t>（三）增设保险信用承诺。</w:t>
      </w:r>
      <w:r>
        <w:rPr>
          <w:rFonts w:hint="eastAsia" w:ascii="Times New Roman" w:hAnsi="Times New Roman" w:cs="Times New Roman"/>
          <w:spacing w:val="3"/>
          <w:sz w:val="32"/>
          <w:szCs w:val="32"/>
          <w:highlight w:val="none"/>
          <w:lang w:val="en-US" w:eastAsia="zh-CN"/>
        </w:rPr>
        <w:t>对发生过从事非法营运行为的投保人，在其购买车辆保险时，投保人应与承保机构签订非法营运保险理赔《免责告知书》。通过信用承诺与保险服务的深度绑定，以经济手段强化合规运营内生动力，从源头降低行业风险，助力网约车行业规范可持续发展。</w:t>
      </w:r>
    </w:p>
    <w:p w14:paraId="1E4574C5">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default" w:ascii="黑体" w:hAnsi="黑体" w:eastAsia="黑体" w:cs="黑体"/>
          <w:spacing w:val="3"/>
          <w:sz w:val="32"/>
          <w:szCs w:val="32"/>
          <w:highlight w:val="none"/>
          <w:lang w:val="en-US" w:eastAsia="zh-CN"/>
        </w:rPr>
      </w:pPr>
      <w:r>
        <w:rPr>
          <w:rFonts w:hint="eastAsia" w:ascii="黑体" w:hAnsi="黑体" w:eastAsia="黑体" w:cs="黑体"/>
          <w:spacing w:val="3"/>
          <w:sz w:val="32"/>
          <w:szCs w:val="32"/>
          <w:highlight w:val="none"/>
          <w:lang w:val="en-US" w:eastAsia="zh-CN"/>
        </w:rPr>
        <w:t>四、构建“交通执法+保险业”联合机制</w:t>
      </w:r>
    </w:p>
    <w:p w14:paraId="171FA1B7">
      <w:pPr>
        <w:keepNext w:val="0"/>
        <w:keepLines w:val="0"/>
        <w:pageBreakBefore w:val="0"/>
        <w:widowControl w:val="0"/>
        <w:kinsoku/>
        <w:wordWrap/>
        <w:overflowPunct/>
        <w:topLinePunct w:val="0"/>
        <w:autoSpaceDE/>
        <w:autoSpaceDN/>
        <w:bidi w:val="0"/>
        <w:adjustRightInd/>
        <w:snapToGrid/>
        <w:spacing w:line="560" w:lineRule="exact"/>
        <w:ind w:firstLine="655" w:firstLineChars="200"/>
        <w:textAlignment w:val="auto"/>
        <w:rPr>
          <w:rFonts w:hint="default" w:ascii="黑体" w:hAnsi="黑体" w:eastAsia="黑体" w:cs="黑体"/>
          <w:spacing w:val="3"/>
          <w:sz w:val="32"/>
          <w:szCs w:val="32"/>
          <w:highlight w:val="none"/>
          <w:lang w:val="en-US" w:eastAsia="zh-CN"/>
        </w:rPr>
      </w:pPr>
      <w:r>
        <w:rPr>
          <w:rFonts w:hint="eastAsia" w:ascii="楷体_GB2312" w:hAnsi="楷体_GB2312" w:eastAsia="楷体_GB2312" w:cs="楷体_GB2312"/>
          <w:b/>
          <w:bCs/>
          <w:spacing w:val="3"/>
          <w:sz w:val="32"/>
          <w:szCs w:val="32"/>
          <w:highlight w:val="none"/>
          <w:lang w:val="en-US" w:eastAsia="zh-CN"/>
        </w:rPr>
        <w:t>（一）建立联合工作机制</w:t>
      </w:r>
    </w:p>
    <w:p w14:paraId="1585763E">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cs="Times New Roman"/>
          <w:spacing w:val="3"/>
          <w:sz w:val="32"/>
          <w:szCs w:val="32"/>
          <w:highlight w:val="none"/>
          <w:lang w:val="en-US" w:eastAsia="zh-CN"/>
        </w:rPr>
      </w:pPr>
      <w:r>
        <w:rPr>
          <w:rFonts w:hint="eastAsia" w:ascii="Times New Roman" w:hAnsi="Times New Roman" w:cs="Times New Roman"/>
          <w:spacing w:val="3"/>
          <w:sz w:val="32"/>
          <w:szCs w:val="32"/>
          <w:highlight w:val="none"/>
          <w:lang w:val="en-US" w:eastAsia="zh-CN"/>
        </w:rPr>
        <w:t>由交通运输主管部门和保险行业协会共同牵头，成立专门的联合工作组，负责统筹协调“交通执法+保险业”联合机制的日常工作。工作组成员包括交通运输执法人员、保险行业专家、网约车平台代表等。</w:t>
      </w:r>
    </w:p>
    <w:p w14:paraId="759551AD">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cs="Times New Roman"/>
          <w:spacing w:val="3"/>
          <w:sz w:val="32"/>
          <w:szCs w:val="32"/>
          <w:highlight w:val="none"/>
          <w:lang w:val="en-US" w:eastAsia="zh-CN"/>
        </w:rPr>
      </w:pPr>
      <w:r>
        <w:rPr>
          <w:rFonts w:hint="eastAsia" w:ascii="Times New Roman" w:hAnsi="Times New Roman" w:cs="Times New Roman"/>
          <w:spacing w:val="3"/>
          <w:sz w:val="32"/>
          <w:szCs w:val="32"/>
          <w:highlight w:val="none"/>
          <w:lang w:val="en-US" w:eastAsia="zh-CN"/>
        </w:rPr>
        <w:t>交通运输主管部门：负责提供网约车行业监管数据，包括市场规模、运营情况、违法记录等；</w:t>
      </w:r>
      <w:r>
        <w:rPr>
          <w:rFonts w:hint="eastAsia" w:ascii="Times New Roman" w:hAnsi="Times New Roman" w:cs="Times New Roman"/>
          <w:color w:val="auto"/>
          <w:spacing w:val="3"/>
          <w:sz w:val="32"/>
          <w:szCs w:val="32"/>
          <w:highlight w:val="none"/>
          <w:lang w:val="en-US" w:eastAsia="zh-CN"/>
        </w:rPr>
        <w:t>网约车驾驶员年度诚信考核结果；</w:t>
      </w:r>
      <w:r>
        <w:rPr>
          <w:rFonts w:hint="eastAsia" w:ascii="Times New Roman" w:hAnsi="Times New Roman" w:cs="Times New Roman"/>
          <w:spacing w:val="3"/>
          <w:sz w:val="32"/>
          <w:szCs w:val="32"/>
          <w:highlight w:val="none"/>
          <w:lang w:val="en-US" w:eastAsia="zh-CN"/>
        </w:rPr>
        <w:t>加强对网约车平台的日常监管，督促平台落实安全生产主体责任。</w:t>
      </w:r>
    </w:p>
    <w:p w14:paraId="5C9FBBB1">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default" w:ascii="Times New Roman" w:hAnsi="Times New Roman" w:cs="Times New Roman"/>
          <w:spacing w:val="3"/>
          <w:sz w:val="32"/>
          <w:szCs w:val="32"/>
          <w:highlight w:val="none"/>
          <w:lang w:val="en-US" w:eastAsia="zh-CN"/>
        </w:rPr>
      </w:pPr>
      <w:r>
        <w:rPr>
          <w:rFonts w:hint="eastAsia" w:ascii="Times New Roman" w:hAnsi="Times New Roman" w:cs="Times New Roman"/>
          <w:spacing w:val="3"/>
          <w:sz w:val="32"/>
          <w:szCs w:val="32"/>
          <w:highlight w:val="none"/>
          <w:lang w:val="en-US" w:eastAsia="zh-CN"/>
        </w:rPr>
        <w:t>保险行业协会：负责协调辖区内各保险公司，推动保险产品创新，优化保险服务；建立保险行业内部的信息共享机制，确保保险机构能够及时获取网约车运营数据；配合交通运输主管部门统计相关数据。</w:t>
      </w:r>
    </w:p>
    <w:p w14:paraId="6B54CB10">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cs="Times New Roman"/>
          <w:spacing w:val="3"/>
          <w:sz w:val="32"/>
          <w:szCs w:val="32"/>
          <w:highlight w:val="none"/>
          <w:lang w:val="en-US" w:eastAsia="zh-CN"/>
        </w:rPr>
      </w:pPr>
      <w:r>
        <w:rPr>
          <w:rFonts w:hint="eastAsia" w:ascii="Times New Roman" w:hAnsi="Times New Roman" w:cs="Times New Roman"/>
          <w:spacing w:val="3"/>
          <w:sz w:val="32"/>
          <w:szCs w:val="32"/>
          <w:highlight w:val="none"/>
          <w:lang w:val="en-US" w:eastAsia="zh-CN"/>
        </w:rPr>
        <w:t>网约车平台企业：负责提供网约车运营数据，协助交通执法部门和保险机构开展风险评估和管理工作；加强对从业人员的培训教育，提高其规范运营意识。</w:t>
      </w:r>
    </w:p>
    <w:p w14:paraId="61618A4E">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cs="Times New Roman"/>
          <w:spacing w:val="3"/>
          <w:sz w:val="32"/>
          <w:szCs w:val="32"/>
          <w:highlight w:val="none"/>
          <w:lang w:val="en-US" w:eastAsia="zh-CN"/>
        </w:rPr>
      </w:pPr>
      <w:r>
        <w:rPr>
          <w:rFonts w:hint="eastAsia" w:ascii="Times New Roman" w:hAnsi="Times New Roman" w:cs="Times New Roman"/>
          <w:spacing w:val="3"/>
          <w:sz w:val="32"/>
          <w:szCs w:val="32"/>
          <w:highlight w:val="none"/>
          <w:lang w:val="en-US" w:eastAsia="zh-CN"/>
        </w:rPr>
        <w:t>联合工作组定期召开会议，每季度一次，共同分析网约车行业运行情况，研究解决联合监管中遇到的问题。会议内容包括但不限于：风险监测研判、重大情况通报、联合监管措施的制定与落实等。</w:t>
      </w:r>
    </w:p>
    <w:p w14:paraId="53284DCE">
      <w:pPr>
        <w:keepNext w:val="0"/>
        <w:keepLines w:val="0"/>
        <w:pageBreakBefore w:val="0"/>
        <w:widowControl w:val="0"/>
        <w:kinsoku/>
        <w:wordWrap/>
        <w:overflowPunct/>
        <w:topLinePunct w:val="0"/>
        <w:autoSpaceDE/>
        <w:autoSpaceDN/>
        <w:bidi w:val="0"/>
        <w:adjustRightInd/>
        <w:snapToGrid/>
        <w:spacing w:line="560" w:lineRule="exact"/>
        <w:ind w:firstLine="655" w:firstLineChars="200"/>
        <w:textAlignment w:val="auto"/>
        <w:rPr>
          <w:rFonts w:hint="default" w:ascii="黑体" w:hAnsi="黑体" w:eastAsia="黑体" w:cs="黑体"/>
          <w:spacing w:val="3"/>
          <w:sz w:val="32"/>
          <w:szCs w:val="32"/>
          <w:highlight w:val="none"/>
          <w:lang w:val="en-US" w:eastAsia="zh-CN"/>
        </w:rPr>
      </w:pPr>
      <w:r>
        <w:rPr>
          <w:rFonts w:hint="eastAsia" w:ascii="楷体_GB2312" w:hAnsi="楷体_GB2312" w:eastAsia="楷体_GB2312" w:cs="楷体_GB2312"/>
          <w:b/>
          <w:bCs/>
          <w:spacing w:val="3"/>
          <w:sz w:val="32"/>
          <w:szCs w:val="32"/>
          <w:highlight w:val="none"/>
          <w:lang w:val="en-US" w:eastAsia="zh-CN"/>
        </w:rPr>
        <w:t>（二）建立信息互通机制</w:t>
      </w:r>
    </w:p>
    <w:p w14:paraId="57D6C971">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cs="Times New Roman"/>
          <w:spacing w:val="3"/>
          <w:sz w:val="32"/>
          <w:szCs w:val="32"/>
          <w:highlight w:val="none"/>
          <w:lang w:val="en-US" w:eastAsia="zh-CN"/>
        </w:rPr>
      </w:pPr>
      <w:r>
        <w:rPr>
          <w:rFonts w:hint="eastAsia" w:ascii="Times New Roman" w:hAnsi="Times New Roman" w:cs="Times New Roman"/>
          <w:spacing w:val="3"/>
          <w:sz w:val="32"/>
          <w:szCs w:val="32"/>
          <w:highlight w:val="none"/>
          <w:lang w:val="en-US" w:eastAsia="zh-CN"/>
        </w:rPr>
        <w:t>交通运输主管部门应加强信息公开及信息互通，做好网约车行业市场运行监测公示工作，对网约车行业的市场规模、运营情况、市场秩序、市场风险作出预判，引导从业人员理性选择从业。</w:t>
      </w:r>
    </w:p>
    <w:p w14:paraId="12D09D32">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cs="Times New Roman"/>
          <w:spacing w:val="3"/>
          <w:sz w:val="32"/>
          <w:szCs w:val="32"/>
          <w:highlight w:val="none"/>
          <w:lang w:val="en-US" w:eastAsia="zh-CN"/>
        </w:rPr>
      </w:pPr>
      <w:r>
        <w:rPr>
          <w:rFonts w:hint="eastAsia" w:ascii="Times New Roman" w:hAnsi="Times New Roman" w:cs="Times New Roman"/>
          <w:spacing w:val="3"/>
          <w:sz w:val="32"/>
          <w:szCs w:val="32"/>
          <w:highlight w:val="none"/>
          <w:lang w:val="en-US" w:eastAsia="zh-CN"/>
        </w:rPr>
        <w:t>交通运输主管部门建立健全行政执法信息公示制度，及时准确完整地记录非法营运网约车案件，</w:t>
      </w:r>
      <w:r>
        <w:rPr>
          <w:rFonts w:hint="eastAsia" w:ascii="Times New Roman" w:hAnsi="Times New Roman" w:cs="Times New Roman"/>
          <w:spacing w:val="3"/>
          <w:sz w:val="32"/>
          <w:szCs w:val="32"/>
          <w:highlight w:val="none"/>
          <w:u w:val="none"/>
          <w:lang w:val="en-US" w:eastAsia="zh-CN"/>
        </w:rPr>
        <w:t>通过信用南阳、信用交通网站公开行政执法信息，每季度将本地</w:t>
      </w:r>
      <w:r>
        <w:rPr>
          <w:rFonts w:hint="eastAsia" w:ascii="Times New Roman" w:hAnsi="Times New Roman" w:cs="Times New Roman"/>
          <w:spacing w:val="3"/>
          <w:sz w:val="32"/>
          <w:szCs w:val="32"/>
          <w:highlight w:val="none"/>
          <w:lang w:val="en-US" w:eastAsia="zh-CN"/>
        </w:rPr>
        <w:t>查处的非法营运网约车案件信息抄告辖区相关保险公司。</w:t>
      </w:r>
    </w:p>
    <w:p w14:paraId="48B6B7FF">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cs="Times New Roman"/>
          <w:spacing w:val="3"/>
          <w:sz w:val="32"/>
          <w:szCs w:val="32"/>
          <w:highlight w:val="none"/>
          <w:lang w:val="en-US" w:eastAsia="zh-CN"/>
        </w:rPr>
      </w:pPr>
      <w:r>
        <w:rPr>
          <w:rFonts w:hint="eastAsia" w:ascii="Times New Roman" w:hAnsi="Times New Roman" w:cs="Times New Roman"/>
          <w:spacing w:val="3"/>
          <w:sz w:val="32"/>
          <w:szCs w:val="32"/>
          <w:highlight w:val="none"/>
          <w:u w:val="none"/>
          <w:lang w:val="en-US" w:eastAsia="zh-CN"/>
        </w:rPr>
        <w:t>南阳市保险行业协会组织行业参考行驶里程、车辆年限等因素，及时汇总各机构在承保理赔环节发现的可疑车辆线索，定期向交通运输主管部门报送，协助交通运输部门提高对网约车违法查处精准度，</w:t>
      </w:r>
      <w:r>
        <w:rPr>
          <w:rFonts w:hint="eastAsia" w:ascii="Times New Roman" w:hAnsi="Times New Roman" w:cs="Times New Roman"/>
          <w:color w:val="auto"/>
          <w:spacing w:val="3"/>
          <w:sz w:val="32"/>
          <w:szCs w:val="32"/>
          <w:highlight w:val="none"/>
          <w:u w:val="none"/>
          <w:lang w:val="en-US" w:eastAsia="zh-CN"/>
        </w:rPr>
        <w:t>纳入信用联合惩戒体系。</w:t>
      </w:r>
    </w:p>
    <w:p w14:paraId="6714759D">
      <w:pPr>
        <w:keepNext w:val="0"/>
        <w:keepLines w:val="0"/>
        <w:pageBreakBefore w:val="0"/>
        <w:widowControl w:val="0"/>
        <w:kinsoku/>
        <w:wordWrap/>
        <w:overflowPunct/>
        <w:topLinePunct w:val="0"/>
        <w:autoSpaceDE/>
        <w:autoSpaceDN/>
        <w:bidi w:val="0"/>
        <w:adjustRightInd/>
        <w:snapToGrid/>
        <w:spacing w:line="560" w:lineRule="exact"/>
        <w:ind w:firstLine="655" w:firstLineChars="200"/>
        <w:textAlignment w:val="auto"/>
        <w:rPr>
          <w:rFonts w:hint="default" w:ascii="黑体" w:hAnsi="黑体" w:eastAsia="黑体" w:cs="黑体"/>
          <w:spacing w:val="3"/>
          <w:sz w:val="32"/>
          <w:szCs w:val="32"/>
          <w:highlight w:val="none"/>
          <w:lang w:val="en-US" w:eastAsia="zh-CN"/>
        </w:rPr>
      </w:pPr>
      <w:r>
        <w:rPr>
          <w:rFonts w:hint="eastAsia" w:ascii="楷体_GB2312" w:hAnsi="楷体_GB2312" w:eastAsia="楷体_GB2312" w:cs="楷体_GB2312"/>
          <w:b/>
          <w:bCs/>
          <w:spacing w:val="3"/>
          <w:sz w:val="32"/>
          <w:szCs w:val="32"/>
          <w:highlight w:val="none"/>
          <w:lang w:val="en-US" w:eastAsia="zh-CN"/>
        </w:rPr>
        <w:t>（三）建立协同监管机制</w:t>
      </w:r>
    </w:p>
    <w:p w14:paraId="1E1B6112">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cs="Times New Roman"/>
          <w:spacing w:val="3"/>
          <w:sz w:val="32"/>
          <w:szCs w:val="32"/>
          <w:highlight w:val="none"/>
          <w:lang w:val="en-US" w:eastAsia="zh-CN"/>
        </w:rPr>
      </w:pPr>
      <w:r>
        <w:rPr>
          <w:rFonts w:hint="eastAsia" w:ascii="Times New Roman" w:hAnsi="Times New Roman" w:cs="Times New Roman"/>
          <w:spacing w:val="3"/>
          <w:sz w:val="32"/>
          <w:szCs w:val="32"/>
          <w:highlight w:val="none"/>
          <w:lang w:val="en-US" w:eastAsia="zh-CN"/>
        </w:rPr>
        <w:t>交通运输部门应加大对网约车违法查处力度，加强路面巡查执法，定期开展路面执法行动，加密执法频次，加大对铁路站场、客运站场、医院、重要商圈等重点区域的巡查执法力度，严厉打击未取得经营许可擅自从事或变相从事网约车经营活动违法行为；督促网约车平台企业落实安全生产主体责任，定期对从业人员开展培训教育、完善安全生产应急预案，加大网约车从业人员规范运营与保险知识的宣传力度，提升从业人对购买运营保险保障司乘人员的意识；积极宣传客车非法营运等违法行为的危害和后果，引导广大市民群众自觉拒乘非法营运车辆。</w:t>
      </w:r>
    </w:p>
    <w:p w14:paraId="053B2D8D">
      <w:pPr>
        <w:keepNext w:val="0"/>
        <w:keepLines w:val="0"/>
        <w:pageBreakBefore w:val="0"/>
        <w:widowControl w:val="0"/>
        <w:kinsoku/>
        <w:wordWrap/>
        <w:overflowPunct/>
        <w:topLinePunct w:val="0"/>
        <w:autoSpaceDE/>
        <w:autoSpaceDN/>
        <w:bidi w:val="0"/>
        <w:adjustRightInd/>
        <w:snapToGrid/>
        <w:spacing w:line="540" w:lineRule="exact"/>
        <w:ind w:firstLine="652" w:firstLineChars="200"/>
        <w:textAlignment w:val="auto"/>
        <w:rPr>
          <w:rFonts w:hint="eastAsia" w:ascii="Times New Roman" w:hAnsi="Times New Roman" w:cs="Times New Roman"/>
          <w:spacing w:val="3"/>
          <w:sz w:val="32"/>
          <w:szCs w:val="32"/>
          <w:highlight w:val="none"/>
          <w:u w:val="none"/>
          <w:lang w:val="en-US" w:eastAsia="zh-CN"/>
        </w:rPr>
      </w:pPr>
      <w:r>
        <w:rPr>
          <w:rFonts w:hint="eastAsia" w:ascii="Times New Roman" w:hAnsi="Times New Roman" w:cs="Times New Roman"/>
          <w:spacing w:val="3"/>
          <w:sz w:val="32"/>
          <w:szCs w:val="32"/>
          <w:highlight w:val="none"/>
          <w:u w:val="none"/>
          <w:lang w:val="en-US" w:eastAsia="zh-CN"/>
        </w:rPr>
        <w:t>承保机构应加强风险管控，强化投保政策宣传，投保人购买车辆保险时，应主动告知投保人从事非法营运出险时免赔条款，从源头教育，消除从业人员的侥幸心理，提升信用意识。要根据交通运输主管部门抄告的非法营运网约车案件信息，督促车主及时进行信息保全变更，倒逼网约车规范运营，遏制非法营运行为。</w:t>
      </w:r>
    </w:p>
    <w:p w14:paraId="779F427E">
      <w:pPr>
        <w:keepNext w:val="0"/>
        <w:keepLines w:val="0"/>
        <w:pageBreakBefore w:val="0"/>
        <w:widowControl w:val="0"/>
        <w:kinsoku/>
        <w:wordWrap/>
        <w:overflowPunct/>
        <w:topLinePunct w:val="0"/>
        <w:autoSpaceDE/>
        <w:autoSpaceDN/>
        <w:bidi w:val="0"/>
        <w:adjustRightInd/>
        <w:snapToGrid/>
        <w:spacing w:line="540" w:lineRule="exact"/>
        <w:ind w:firstLine="652" w:firstLineChars="200"/>
        <w:textAlignment w:val="auto"/>
        <w:rPr>
          <w:rFonts w:hint="eastAsia" w:ascii="Times New Roman" w:hAnsi="Times New Roman" w:cs="Times New Roman"/>
          <w:spacing w:val="3"/>
          <w:sz w:val="32"/>
          <w:szCs w:val="32"/>
          <w:highlight w:val="none"/>
          <w:u w:val="none"/>
          <w:lang w:val="en-US" w:eastAsia="zh-CN"/>
        </w:rPr>
      </w:pPr>
      <w:r>
        <w:rPr>
          <w:rFonts w:hint="eastAsia" w:ascii="Times New Roman" w:hAnsi="Times New Roman" w:cs="Times New Roman"/>
          <w:spacing w:val="3"/>
          <w:sz w:val="32"/>
          <w:szCs w:val="32"/>
          <w:highlight w:val="none"/>
          <w:u w:val="none"/>
          <w:lang w:val="en-US" w:eastAsia="zh-CN"/>
        </w:rPr>
        <w:t>鼓励社会公众通过举报平台、热线电话等渠道参与监督。通过大数据分析比对营运数据、保险信息、乘客投诉等关键指标，动态识别异常经营行为，实施精准执法。形成“数据互通、执法联动、社会共治”的全链条监管闭环，推动网约车行业健康有序发展。</w:t>
      </w:r>
    </w:p>
    <w:p w14:paraId="4B5EC824">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spacing w:val="3"/>
          <w:sz w:val="32"/>
          <w:szCs w:val="32"/>
          <w:highlight w:val="none"/>
          <w:lang w:val="en-US" w:eastAsia="zh-CN"/>
        </w:rPr>
      </w:pPr>
    </w:p>
    <w:p w14:paraId="4CFA4FA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spacing w:val="3"/>
          <w:sz w:val="32"/>
          <w:szCs w:val="32"/>
          <w:highlight w:val="none"/>
          <w:lang w:val="en-US" w:eastAsia="zh-CN"/>
        </w:rPr>
      </w:pPr>
    </w:p>
    <w:p w14:paraId="61A40464">
      <w:pPr>
        <w:keepNext w:val="0"/>
        <w:keepLines w:val="0"/>
        <w:pageBreakBefore w:val="0"/>
        <w:widowControl w:val="0"/>
        <w:kinsoku/>
        <w:wordWrap/>
        <w:overflowPunct/>
        <w:topLinePunct w:val="0"/>
        <w:autoSpaceDE/>
        <w:autoSpaceDN/>
        <w:bidi w:val="0"/>
        <w:adjustRightInd/>
        <w:snapToGrid/>
        <w:spacing w:line="540" w:lineRule="exact"/>
        <w:ind w:firstLine="894" w:firstLineChars="300"/>
        <w:textAlignment w:val="auto"/>
        <w:rPr>
          <w:rFonts w:hint="eastAsia" w:ascii="Times New Roman" w:hAnsi="Times New Roman" w:cs="Times New Roman"/>
          <w:spacing w:val="-11"/>
          <w:sz w:val="32"/>
          <w:szCs w:val="32"/>
          <w:highlight w:val="none"/>
          <w:lang w:val="en-US" w:eastAsia="zh-CN"/>
        </w:rPr>
      </w:pPr>
      <w:r>
        <w:rPr>
          <w:rFonts w:hint="eastAsia" w:ascii="Times New Roman" w:hAnsi="Times New Roman" w:cs="Times New Roman"/>
          <w:spacing w:val="-11"/>
          <w:sz w:val="32"/>
          <w:szCs w:val="32"/>
          <w:highlight w:val="none"/>
          <w:lang w:val="en-US" w:eastAsia="zh-CN"/>
        </w:rPr>
        <w:t>南阳市交通运输局     国家金融监督管理总局南阳监管分局</w:t>
      </w:r>
    </w:p>
    <w:p w14:paraId="2DC71648">
      <w:pPr>
        <w:keepNext w:val="0"/>
        <w:keepLines w:val="0"/>
        <w:pageBreakBefore w:val="0"/>
        <w:widowControl w:val="0"/>
        <w:kinsoku/>
        <w:wordWrap/>
        <w:overflowPunct/>
        <w:topLinePunct w:val="0"/>
        <w:autoSpaceDE/>
        <w:autoSpaceDN/>
        <w:bidi w:val="0"/>
        <w:adjustRightInd/>
        <w:snapToGrid/>
        <w:spacing w:line="540" w:lineRule="exact"/>
        <w:ind w:firstLine="4890" w:firstLineChars="1500"/>
        <w:textAlignment w:val="auto"/>
        <w:rPr>
          <w:rFonts w:hint="default" w:ascii="Times New Roman" w:hAnsi="Times New Roman" w:cs="Times New Roman"/>
          <w:spacing w:val="3"/>
          <w:sz w:val="32"/>
          <w:szCs w:val="32"/>
          <w:highlight w:val="none"/>
          <w:lang w:val="en-US" w:eastAsia="zh-CN"/>
        </w:rPr>
      </w:pPr>
      <w:r>
        <w:rPr>
          <w:rFonts w:hint="eastAsia" w:ascii="Times New Roman" w:hAnsi="Times New Roman" w:cs="Times New Roman"/>
          <w:spacing w:val="3"/>
          <w:sz w:val="32"/>
          <w:szCs w:val="32"/>
          <w:highlight w:val="none"/>
          <w:lang w:val="en-US" w:eastAsia="zh-CN"/>
        </w:rPr>
        <w:t>2025年6月20</w:t>
      </w:r>
      <w:bookmarkStart w:id="0" w:name="_GoBack"/>
      <w:bookmarkEnd w:id="0"/>
      <w:r>
        <w:rPr>
          <w:rFonts w:hint="eastAsia" w:ascii="Times New Roman" w:hAnsi="Times New Roman" w:cs="Times New Roman"/>
          <w:spacing w:val="3"/>
          <w:sz w:val="32"/>
          <w:szCs w:val="32"/>
          <w:highlight w:val="none"/>
          <w:lang w:val="en-US" w:eastAsia="zh-CN"/>
        </w:rPr>
        <w:t>日</w:t>
      </w:r>
    </w:p>
    <w:sectPr>
      <w:footerReference r:id="rId3" w:type="default"/>
      <w:pgSz w:w="11906" w:h="16838"/>
      <w:pgMar w:top="1757"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CFDE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6AE5F">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DA6AE5F">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YzQ2ZTcwZGVjYTZlZGNjNTlhZjk1NjI3MTdkYzIifQ=="/>
  </w:docVars>
  <w:rsids>
    <w:rsidRoot w:val="55797CF4"/>
    <w:rsid w:val="00041FCF"/>
    <w:rsid w:val="00137633"/>
    <w:rsid w:val="002D7534"/>
    <w:rsid w:val="002E1D08"/>
    <w:rsid w:val="003018CB"/>
    <w:rsid w:val="00373CD2"/>
    <w:rsid w:val="00451CD5"/>
    <w:rsid w:val="00494745"/>
    <w:rsid w:val="00506492"/>
    <w:rsid w:val="00576F89"/>
    <w:rsid w:val="005D789A"/>
    <w:rsid w:val="006F5F3D"/>
    <w:rsid w:val="00701861"/>
    <w:rsid w:val="007657C1"/>
    <w:rsid w:val="007771BC"/>
    <w:rsid w:val="0079356D"/>
    <w:rsid w:val="00A56E5D"/>
    <w:rsid w:val="00A60CE2"/>
    <w:rsid w:val="00B1597A"/>
    <w:rsid w:val="00B20405"/>
    <w:rsid w:val="00B61BA0"/>
    <w:rsid w:val="00B8222E"/>
    <w:rsid w:val="00C436CC"/>
    <w:rsid w:val="00CA1EAB"/>
    <w:rsid w:val="00CD618C"/>
    <w:rsid w:val="00CF7402"/>
    <w:rsid w:val="00F572E1"/>
    <w:rsid w:val="00F761EF"/>
    <w:rsid w:val="01DC6BF5"/>
    <w:rsid w:val="034D4E02"/>
    <w:rsid w:val="04BB7AC6"/>
    <w:rsid w:val="04D87DC9"/>
    <w:rsid w:val="04F029C9"/>
    <w:rsid w:val="050E236F"/>
    <w:rsid w:val="06154640"/>
    <w:rsid w:val="06622973"/>
    <w:rsid w:val="06F94BC4"/>
    <w:rsid w:val="07D224E1"/>
    <w:rsid w:val="07F41CF0"/>
    <w:rsid w:val="089D7C92"/>
    <w:rsid w:val="09C35C7A"/>
    <w:rsid w:val="0A2F5262"/>
    <w:rsid w:val="0A5C6857"/>
    <w:rsid w:val="0AA32776"/>
    <w:rsid w:val="0AF344E1"/>
    <w:rsid w:val="0B0A397A"/>
    <w:rsid w:val="0B1004E2"/>
    <w:rsid w:val="0BC3681D"/>
    <w:rsid w:val="0C781676"/>
    <w:rsid w:val="0CEB5E4E"/>
    <w:rsid w:val="0D123093"/>
    <w:rsid w:val="0D6671EC"/>
    <w:rsid w:val="0EF80789"/>
    <w:rsid w:val="0F0E15A7"/>
    <w:rsid w:val="0F5B2655"/>
    <w:rsid w:val="1033328C"/>
    <w:rsid w:val="108A25D4"/>
    <w:rsid w:val="10F9365E"/>
    <w:rsid w:val="111F1C5C"/>
    <w:rsid w:val="115B2DE0"/>
    <w:rsid w:val="1237572B"/>
    <w:rsid w:val="12E54AA5"/>
    <w:rsid w:val="13392CAD"/>
    <w:rsid w:val="136C3083"/>
    <w:rsid w:val="13C0455F"/>
    <w:rsid w:val="145C6C53"/>
    <w:rsid w:val="14AD74AF"/>
    <w:rsid w:val="14B94BCE"/>
    <w:rsid w:val="15267261"/>
    <w:rsid w:val="1546345F"/>
    <w:rsid w:val="15A07153"/>
    <w:rsid w:val="16007AB2"/>
    <w:rsid w:val="16171F7F"/>
    <w:rsid w:val="165226B5"/>
    <w:rsid w:val="1709284B"/>
    <w:rsid w:val="178D5376"/>
    <w:rsid w:val="1B033A35"/>
    <w:rsid w:val="1B05466C"/>
    <w:rsid w:val="1B4E4F3C"/>
    <w:rsid w:val="1B944F25"/>
    <w:rsid w:val="1B9D4DB7"/>
    <w:rsid w:val="1BE0460E"/>
    <w:rsid w:val="1C12741C"/>
    <w:rsid w:val="1C906650"/>
    <w:rsid w:val="1CA92C52"/>
    <w:rsid w:val="1E57048B"/>
    <w:rsid w:val="1EAB63B3"/>
    <w:rsid w:val="1EEE7042"/>
    <w:rsid w:val="1F3535E1"/>
    <w:rsid w:val="21A8172A"/>
    <w:rsid w:val="221D6484"/>
    <w:rsid w:val="22E54EF0"/>
    <w:rsid w:val="23672B48"/>
    <w:rsid w:val="25950217"/>
    <w:rsid w:val="25F211C5"/>
    <w:rsid w:val="27BF3329"/>
    <w:rsid w:val="28AD3ACA"/>
    <w:rsid w:val="29051210"/>
    <w:rsid w:val="29A7676B"/>
    <w:rsid w:val="2AB177B5"/>
    <w:rsid w:val="2AD46E63"/>
    <w:rsid w:val="2B4A1AA4"/>
    <w:rsid w:val="2B980A61"/>
    <w:rsid w:val="2CEC0795"/>
    <w:rsid w:val="2D4D260B"/>
    <w:rsid w:val="2DFF5BBC"/>
    <w:rsid w:val="2F0C6FE7"/>
    <w:rsid w:val="305B3E0B"/>
    <w:rsid w:val="31540F86"/>
    <w:rsid w:val="329F548F"/>
    <w:rsid w:val="33893A33"/>
    <w:rsid w:val="35711854"/>
    <w:rsid w:val="36566CCA"/>
    <w:rsid w:val="37B948D4"/>
    <w:rsid w:val="37E33064"/>
    <w:rsid w:val="38427E28"/>
    <w:rsid w:val="386B43A3"/>
    <w:rsid w:val="3A0B0650"/>
    <w:rsid w:val="3A7C1110"/>
    <w:rsid w:val="3B2A5582"/>
    <w:rsid w:val="3D6F7148"/>
    <w:rsid w:val="3D8A5D00"/>
    <w:rsid w:val="3DF616C9"/>
    <w:rsid w:val="3F4011C9"/>
    <w:rsid w:val="3F43263A"/>
    <w:rsid w:val="3F577E93"/>
    <w:rsid w:val="3F6F1927"/>
    <w:rsid w:val="400E0E9A"/>
    <w:rsid w:val="40AF442B"/>
    <w:rsid w:val="41CF1729"/>
    <w:rsid w:val="41E2438C"/>
    <w:rsid w:val="42F216D2"/>
    <w:rsid w:val="44C4417B"/>
    <w:rsid w:val="44CD5520"/>
    <w:rsid w:val="453B44DF"/>
    <w:rsid w:val="4621522A"/>
    <w:rsid w:val="47727F60"/>
    <w:rsid w:val="4887363D"/>
    <w:rsid w:val="49AD477C"/>
    <w:rsid w:val="49F9428B"/>
    <w:rsid w:val="4AF43C9C"/>
    <w:rsid w:val="4AF97690"/>
    <w:rsid w:val="4D77682D"/>
    <w:rsid w:val="4E1C712B"/>
    <w:rsid w:val="4E3D18EA"/>
    <w:rsid w:val="4E783CA3"/>
    <w:rsid w:val="4EA74993"/>
    <w:rsid w:val="4F88057C"/>
    <w:rsid w:val="50E20BA9"/>
    <w:rsid w:val="519F1952"/>
    <w:rsid w:val="51E87B40"/>
    <w:rsid w:val="52722F3B"/>
    <w:rsid w:val="53605111"/>
    <w:rsid w:val="53A21F87"/>
    <w:rsid w:val="53E27730"/>
    <w:rsid w:val="54B716A8"/>
    <w:rsid w:val="553214A0"/>
    <w:rsid w:val="55797CF4"/>
    <w:rsid w:val="55B30521"/>
    <w:rsid w:val="55C53951"/>
    <w:rsid w:val="56224489"/>
    <w:rsid w:val="562863FA"/>
    <w:rsid w:val="567C50E0"/>
    <w:rsid w:val="56990BE8"/>
    <w:rsid w:val="56A34831"/>
    <w:rsid w:val="56AB6FEB"/>
    <w:rsid w:val="572F4B93"/>
    <w:rsid w:val="5918319E"/>
    <w:rsid w:val="59E7154E"/>
    <w:rsid w:val="5C0A47B4"/>
    <w:rsid w:val="5C5D2B35"/>
    <w:rsid w:val="5D913F07"/>
    <w:rsid w:val="5DC170F4"/>
    <w:rsid w:val="5E021BE6"/>
    <w:rsid w:val="5E4F5C57"/>
    <w:rsid w:val="5ED339D8"/>
    <w:rsid w:val="5F8F74AA"/>
    <w:rsid w:val="5FFF1E2B"/>
    <w:rsid w:val="60255718"/>
    <w:rsid w:val="60A10DED"/>
    <w:rsid w:val="62E502F0"/>
    <w:rsid w:val="63B83DE4"/>
    <w:rsid w:val="63D94879"/>
    <w:rsid w:val="647C5B23"/>
    <w:rsid w:val="652A1A23"/>
    <w:rsid w:val="656330BE"/>
    <w:rsid w:val="65C521BF"/>
    <w:rsid w:val="668871BF"/>
    <w:rsid w:val="66AA2E1B"/>
    <w:rsid w:val="677D7AE8"/>
    <w:rsid w:val="679D483D"/>
    <w:rsid w:val="680C19C3"/>
    <w:rsid w:val="686A0AB4"/>
    <w:rsid w:val="68790CF7"/>
    <w:rsid w:val="6A561E9C"/>
    <w:rsid w:val="6A58493C"/>
    <w:rsid w:val="6B912F6A"/>
    <w:rsid w:val="6BD506E2"/>
    <w:rsid w:val="6C0C791A"/>
    <w:rsid w:val="6D3671B7"/>
    <w:rsid w:val="6D3978A6"/>
    <w:rsid w:val="6DB831EF"/>
    <w:rsid w:val="6E1D2124"/>
    <w:rsid w:val="6E5419B5"/>
    <w:rsid w:val="6F1B45C2"/>
    <w:rsid w:val="6F53299C"/>
    <w:rsid w:val="70580DD0"/>
    <w:rsid w:val="705962FC"/>
    <w:rsid w:val="7187319A"/>
    <w:rsid w:val="71CE128C"/>
    <w:rsid w:val="72471781"/>
    <w:rsid w:val="727A7B45"/>
    <w:rsid w:val="729F7399"/>
    <w:rsid w:val="733F2468"/>
    <w:rsid w:val="738B621F"/>
    <w:rsid w:val="73A02021"/>
    <w:rsid w:val="74E62CD4"/>
    <w:rsid w:val="750E27C7"/>
    <w:rsid w:val="77D01838"/>
    <w:rsid w:val="780638BB"/>
    <w:rsid w:val="793D367B"/>
    <w:rsid w:val="799F298D"/>
    <w:rsid w:val="7A6E3878"/>
    <w:rsid w:val="7A7B0A05"/>
    <w:rsid w:val="7B325C01"/>
    <w:rsid w:val="7B3D4612"/>
    <w:rsid w:val="7B41739F"/>
    <w:rsid w:val="7C1903CF"/>
    <w:rsid w:val="7E130E4E"/>
    <w:rsid w:val="7E1F5A45"/>
    <w:rsid w:val="7E4759DD"/>
    <w:rsid w:val="7EA01A8C"/>
    <w:rsid w:val="7F68425D"/>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宋体"/>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2"/>
    <w:qFormat/>
    <w:uiPriority w:val="0"/>
    <w:rPr>
      <w:rFonts w:ascii="Calibri" w:hAnsi="Calibri" w:eastAsia="仿宋_GB2312"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3131</Words>
  <Characters>3148</Characters>
  <Lines>5</Lines>
  <Paragraphs>1</Paragraphs>
  <TotalTime>20</TotalTime>
  <ScaleCrop>false</ScaleCrop>
  <LinksUpToDate>false</LinksUpToDate>
  <CharactersWithSpaces>3155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2024-04-07T11:52:00Z</dcterms:created>
  <dc:creator>vicki</dc:creator>
  <cp:lastModifiedBy>法制科苟虹璐</cp:lastModifiedBy>
  <cp:lastPrinted>2025-07-01T08:29:00Z</cp:lastPrinted>
  <dcterms:modified xsi:type="dcterms:W3CDTF">2025-07-14T07:13:59Z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818810BD8E6B456C89F154672C26CE76_13</vt:lpwstr>
  </property>
  <property fmtid="{D5CDD505-2E9C-101B-9397-08002B2CF9AE}" pid="4" name="KSOTemplateDocerSaveRecord">
    <vt:lpwstr>eyJoZGlkIjoiM2I0ZGUyMzc4ZWY2NTVlN2UxNTBmM2VhMjA1NDRmYzIiLCJ1c2VySWQiOiI0MjYyNDUzODIifQ==</vt:lpwstr>
  </property>
</Properties>
</file>